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2DAD" w14:textId="5E44ACB6" w:rsidR="00FD1B7C" w:rsidRDefault="00C14DB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Finance</w:t>
      </w:r>
      <w:r w:rsidR="00192878" w:rsidRPr="00242F35">
        <w:rPr>
          <w:rFonts w:ascii="Arial" w:hAnsi="Arial" w:cs="Arial"/>
          <w:b/>
          <w:bCs/>
          <w:sz w:val="20"/>
          <w:szCs w:val="20"/>
        </w:rPr>
        <w:t xml:space="preserve"> Report – Members Committee Meeting </w:t>
      </w:r>
      <w:r w:rsidR="00585ED1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4 June</w:t>
      </w:r>
      <w:r w:rsidR="00585ED1">
        <w:rPr>
          <w:rFonts w:ascii="Arial" w:hAnsi="Arial" w:cs="Arial"/>
          <w:b/>
          <w:bCs/>
          <w:sz w:val="20"/>
          <w:szCs w:val="20"/>
        </w:rPr>
        <w:t xml:space="preserve"> 2021</w:t>
      </w:r>
    </w:p>
    <w:p w14:paraId="2E19B970" w14:textId="411CAC44" w:rsidR="00FB3D8D" w:rsidRDefault="00E22DD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May</w:t>
      </w:r>
      <w:r w:rsidR="00FB3D8D">
        <w:rPr>
          <w:rFonts w:ascii="Arial" w:hAnsi="Arial" w:cs="Arial"/>
          <w:b/>
          <w:bCs/>
          <w:sz w:val="20"/>
          <w:szCs w:val="20"/>
        </w:rPr>
        <w:t xml:space="preserve"> </w:t>
      </w:r>
      <w:r w:rsidR="00A31DFF">
        <w:rPr>
          <w:rFonts w:ascii="Arial" w:hAnsi="Arial" w:cs="Arial"/>
          <w:b/>
          <w:bCs/>
          <w:sz w:val="20"/>
          <w:szCs w:val="20"/>
        </w:rPr>
        <w:t>Results</w:t>
      </w:r>
      <w:r w:rsidR="00FB3D8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FB59EDE" w14:textId="0A2D04F6" w:rsidR="00FB3D8D" w:rsidRPr="00A31DFF" w:rsidRDefault="00A31D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Trading throughout </w:t>
      </w:r>
      <w:r w:rsidR="00E22DD8">
        <w:rPr>
          <w:rFonts w:ascii="Arial" w:hAnsi="Arial" w:cs="Arial"/>
          <w:sz w:val="20"/>
          <w:szCs w:val="20"/>
        </w:rPr>
        <w:t>May was slightly improved compared to April</w:t>
      </w:r>
      <w:r w:rsidR="00E23DEA">
        <w:rPr>
          <w:rFonts w:ascii="Arial" w:hAnsi="Arial" w:cs="Arial"/>
          <w:sz w:val="20"/>
          <w:szCs w:val="20"/>
        </w:rPr>
        <w:t xml:space="preserve">, with total shop revenue increasing </w:t>
      </w:r>
      <w:r w:rsidR="00E22DD8">
        <w:rPr>
          <w:rFonts w:ascii="Arial" w:hAnsi="Arial" w:cs="Arial"/>
          <w:sz w:val="20"/>
          <w:szCs w:val="20"/>
        </w:rPr>
        <w:t>3</w:t>
      </w:r>
      <w:r w:rsidR="00E23DEA">
        <w:rPr>
          <w:rFonts w:ascii="Arial" w:hAnsi="Arial" w:cs="Arial"/>
          <w:sz w:val="20"/>
          <w:szCs w:val="20"/>
        </w:rPr>
        <w:t>% month on month.</w:t>
      </w:r>
      <w:r w:rsidR="00B63952">
        <w:rPr>
          <w:rFonts w:ascii="Arial" w:hAnsi="Arial" w:cs="Arial"/>
          <w:sz w:val="20"/>
          <w:szCs w:val="20"/>
        </w:rPr>
        <w:t xml:space="preserve"> </w:t>
      </w:r>
      <w:r w:rsidR="00E23DEA">
        <w:rPr>
          <w:rFonts w:ascii="Arial" w:hAnsi="Arial" w:cs="Arial"/>
          <w:sz w:val="20"/>
          <w:szCs w:val="20"/>
        </w:rPr>
        <w:t xml:space="preserve">April was a break-even month for Alfalfa House, following a month where we had a $2,756 loss. </w:t>
      </w:r>
      <w:r w:rsidR="00E22DD8">
        <w:rPr>
          <w:rFonts w:ascii="Arial" w:hAnsi="Arial" w:cs="Arial"/>
          <w:sz w:val="20"/>
          <w:szCs w:val="20"/>
        </w:rPr>
        <w:t>In May, we recorded a profit of $7,080</w:t>
      </w:r>
      <w:r w:rsidR="00C14DBD">
        <w:rPr>
          <w:rFonts w:ascii="Arial" w:hAnsi="Arial" w:cs="Arial"/>
          <w:sz w:val="20"/>
          <w:szCs w:val="20"/>
        </w:rPr>
        <w:t>,</w:t>
      </w:r>
      <w:r w:rsidR="00E22DD8">
        <w:rPr>
          <w:rFonts w:ascii="Arial" w:hAnsi="Arial" w:cs="Arial"/>
          <w:sz w:val="20"/>
          <w:szCs w:val="20"/>
        </w:rPr>
        <w:t xml:space="preserve"> which is much improved. </w:t>
      </w:r>
      <w:r>
        <w:rPr>
          <w:rFonts w:ascii="Arial" w:hAnsi="Arial" w:cs="Arial"/>
          <w:sz w:val="20"/>
          <w:szCs w:val="20"/>
        </w:rPr>
        <w:t xml:space="preserve">The table below sets out a summary Profit and Loss for </w:t>
      </w:r>
      <w:r w:rsidR="00E22DD8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2021 as compared to </w:t>
      </w:r>
      <w:r w:rsidR="00E22DD8">
        <w:rPr>
          <w:rFonts w:ascii="Arial" w:hAnsi="Arial" w:cs="Arial"/>
          <w:sz w:val="20"/>
          <w:szCs w:val="20"/>
        </w:rPr>
        <w:t>April</w:t>
      </w:r>
      <w:r>
        <w:rPr>
          <w:rFonts w:ascii="Arial" w:hAnsi="Arial" w:cs="Arial"/>
          <w:sz w:val="20"/>
          <w:szCs w:val="20"/>
        </w:rPr>
        <w:t xml:space="preserve"> 2021:</w:t>
      </w:r>
    </w:p>
    <w:p w14:paraId="32D66A12" w14:textId="2A1AF6B1" w:rsidR="00192878" w:rsidRDefault="00E22DD8">
      <w:pPr>
        <w:rPr>
          <w:rFonts w:ascii="Arial" w:hAnsi="Arial" w:cs="Arial"/>
          <w:sz w:val="20"/>
          <w:szCs w:val="20"/>
        </w:rPr>
      </w:pPr>
      <w:r w:rsidRPr="00E22DD8">
        <w:drawing>
          <wp:inline distT="0" distB="0" distL="0" distR="0" wp14:anchorId="60E2952D" wp14:editId="5DABFD22">
            <wp:extent cx="4006850" cy="4178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400C4" w14:textId="0AFE12FB" w:rsidR="00A31DFF" w:rsidRDefault="00A31DFF">
      <w:pPr>
        <w:rPr>
          <w:rFonts w:ascii="Arial" w:hAnsi="Arial" w:cs="Arial"/>
          <w:sz w:val="20"/>
          <w:szCs w:val="20"/>
        </w:rPr>
      </w:pPr>
    </w:p>
    <w:p w14:paraId="502AEE5D" w14:textId="732E2948" w:rsidR="00A31DFF" w:rsidRDefault="00A31D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</w:t>
      </w:r>
    </w:p>
    <w:p w14:paraId="4CF2B415" w14:textId="7AD00314" w:rsidR="00A31DFF" w:rsidRDefault="00B63952" w:rsidP="00A31DF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Daily shop trading figures </w:t>
      </w:r>
      <w:r w:rsidR="00E22DD8">
        <w:rPr>
          <w:rFonts w:ascii="Arial" w:hAnsi="Arial" w:cs="Arial"/>
          <w:sz w:val="20"/>
          <w:szCs w:val="20"/>
        </w:rPr>
        <w:t>decreased</w:t>
      </w:r>
      <w:r>
        <w:rPr>
          <w:rFonts w:ascii="Arial" w:hAnsi="Arial" w:cs="Arial"/>
          <w:sz w:val="20"/>
          <w:szCs w:val="20"/>
        </w:rPr>
        <w:t xml:space="preserve"> slightly throughout Ma</w:t>
      </w:r>
      <w:r w:rsidR="00C14DB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E22DD8">
        <w:rPr>
          <w:rFonts w:ascii="Arial" w:hAnsi="Arial" w:cs="Arial"/>
          <w:sz w:val="20"/>
          <w:szCs w:val="20"/>
        </w:rPr>
        <w:t>(</w:t>
      </w:r>
      <w:r w:rsidR="00E23DEA">
        <w:rPr>
          <w:rFonts w:ascii="Arial" w:hAnsi="Arial" w:cs="Arial"/>
          <w:sz w:val="20"/>
          <w:szCs w:val="20"/>
        </w:rPr>
        <w:t>$2,404 in April</w:t>
      </w:r>
      <w:r w:rsidR="00E22DD8">
        <w:rPr>
          <w:rFonts w:ascii="Arial" w:hAnsi="Arial" w:cs="Arial"/>
          <w:sz w:val="20"/>
          <w:szCs w:val="20"/>
        </w:rPr>
        <w:t xml:space="preserve"> vs $2,110 in May</w:t>
      </w:r>
      <w:r w:rsidR="00D167C0">
        <w:rPr>
          <w:rFonts w:ascii="Arial" w:hAnsi="Arial" w:cs="Arial"/>
          <w:sz w:val="20"/>
          <w:szCs w:val="20"/>
        </w:rPr>
        <w:t xml:space="preserve">). Refer to below </w:t>
      </w:r>
      <w:r w:rsidR="00E22DD8">
        <w:rPr>
          <w:rFonts w:ascii="Arial" w:hAnsi="Arial" w:cs="Arial"/>
          <w:sz w:val="20"/>
          <w:szCs w:val="20"/>
        </w:rPr>
        <w:t>June</w:t>
      </w:r>
      <w:r w:rsidR="00D167C0">
        <w:rPr>
          <w:rFonts w:ascii="Arial" w:hAnsi="Arial" w:cs="Arial"/>
          <w:sz w:val="20"/>
          <w:szCs w:val="20"/>
        </w:rPr>
        <w:t xml:space="preserve"> trading update which details recent </w:t>
      </w:r>
      <w:r w:rsidR="00E22DD8">
        <w:rPr>
          <w:rFonts w:ascii="Arial" w:hAnsi="Arial" w:cs="Arial"/>
          <w:sz w:val="20"/>
          <w:szCs w:val="20"/>
        </w:rPr>
        <w:t xml:space="preserve">daily </w:t>
      </w:r>
      <w:r w:rsidR="00D167C0">
        <w:rPr>
          <w:rFonts w:ascii="Arial" w:hAnsi="Arial" w:cs="Arial"/>
          <w:sz w:val="20"/>
          <w:szCs w:val="20"/>
        </w:rPr>
        <w:t xml:space="preserve">shop trading trends. </w:t>
      </w:r>
    </w:p>
    <w:p w14:paraId="343F8F8C" w14:textId="33B2EA85" w:rsidR="00D167C0" w:rsidRDefault="00A31DFF" w:rsidP="00E22DD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Administrative expenses </w:t>
      </w:r>
      <w:r w:rsidR="00D167C0">
        <w:rPr>
          <w:rFonts w:ascii="Arial" w:hAnsi="Arial" w:cs="Arial"/>
          <w:sz w:val="20"/>
          <w:szCs w:val="20"/>
        </w:rPr>
        <w:t xml:space="preserve">were </w:t>
      </w:r>
      <w:r w:rsidR="00E22DD8">
        <w:rPr>
          <w:rFonts w:ascii="Arial" w:hAnsi="Arial" w:cs="Arial"/>
          <w:sz w:val="20"/>
          <w:szCs w:val="20"/>
        </w:rPr>
        <w:t>slightly higher than</w:t>
      </w:r>
      <w:r w:rsidR="00E23DEA">
        <w:rPr>
          <w:rFonts w:ascii="Arial" w:hAnsi="Arial" w:cs="Arial"/>
          <w:sz w:val="20"/>
          <w:szCs w:val="20"/>
        </w:rPr>
        <w:t xml:space="preserve"> our target of $3,000</w:t>
      </w:r>
      <w:r w:rsidR="00E22DD8">
        <w:rPr>
          <w:rFonts w:ascii="Arial" w:hAnsi="Arial" w:cs="Arial"/>
          <w:sz w:val="20"/>
          <w:szCs w:val="20"/>
        </w:rPr>
        <w:t xml:space="preserve">, however, this amount includes $1,235 depreciation expenses, which are not a cash cost to the business. </w:t>
      </w:r>
    </w:p>
    <w:p w14:paraId="47FC1260" w14:textId="24D325D4" w:rsidR="00E22DD8" w:rsidRPr="00E22DD8" w:rsidRDefault="00E22DD8" w:rsidP="00E22DD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discussions with the Co-Managers, new COGS spending restrictions were put in place in mid-May. Given the turbulent trading throughout 2021 so far, the previous purchases budget of $9,000 per week was slightly too rigid. It did not account for a reduction in the week following a poor trading week. We have adjusted the purchases budget so that it is simply a calculation from the previous week’s trading. The new purchases budget has been set at 60% of the prior week’s revenue (</w:t>
      </w:r>
      <w:proofErr w:type="gramStart"/>
      <w:r>
        <w:rPr>
          <w:rFonts w:ascii="Arial" w:hAnsi="Arial" w:cs="Arial"/>
          <w:sz w:val="20"/>
          <w:szCs w:val="20"/>
        </w:rPr>
        <w:t>i.e.</w:t>
      </w:r>
      <w:proofErr w:type="gramEnd"/>
      <w:r>
        <w:rPr>
          <w:rFonts w:ascii="Arial" w:hAnsi="Arial" w:cs="Arial"/>
          <w:sz w:val="20"/>
          <w:szCs w:val="20"/>
        </w:rPr>
        <w:t xml:space="preserve"> if we have </w:t>
      </w:r>
      <w:r w:rsidR="00CF1568">
        <w:rPr>
          <w:rFonts w:ascii="Arial" w:hAnsi="Arial" w:cs="Arial"/>
          <w:sz w:val="20"/>
          <w:szCs w:val="20"/>
        </w:rPr>
        <w:t xml:space="preserve">only $13k revenue one week, the next week’s purchases budget will be $7.2k). As you can see from the May results, </w:t>
      </w:r>
      <w:proofErr w:type="gramStart"/>
      <w:r w:rsidR="00CF1568">
        <w:rPr>
          <w:rFonts w:ascii="Arial" w:hAnsi="Arial" w:cs="Arial"/>
          <w:sz w:val="20"/>
          <w:szCs w:val="20"/>
        </w:rPr>
        <w:t>the majority of</w:t>
      </w:r>
      <w:proofErr w:type="gramEnd"/>
      <w:r w:rsidR="00CF1568">
        <w:rPr>
          <w:rFonts w:ascii="Arial" w:hAnsi="Arial" w:cs="Arial"/>
          <w:sz w:val="20"/>
          <w:szCs w:val="20"/>
        </w:rPr>
        <w:t xml:space="preserve"> the profit can be tied back to a reduction in COGS spending. </w:t>
      </w:r>
      <w:r w:rsidR="00C14DBD">
        <w:rPr>
          <w:rFonts w:ascii="Arial" w:hAnsi="Arial" w:cs="Arial"/>
          <w:sz w:val="20"/>
          <w:szCs w:val="20"/>
        </w:rPr>
        <w:t xml:space="preserve">This also has a positive cash flow impact for the Co-op. </w:t>
      </w:r>
    </w:p>
    <w:p w14:paraId="1B957B8B" w14:textId="77777777" w:rsidR="00D167C0" w:rsidRDefault="00D167C0">
      <w:pPr>
        <w:rPr>
          <w:rFonts w:ascii="Arial" w:hAnsi="Arial" w:cs="Arial"/>
          <w:b/>
          <w:bCs/>
          <w:sz w:val="20"/>
          <w:szCs w:val="20"/>
        </w:rPr>
      </w:pPr>
    </w:p>
    <w:p w14:paraId="3BE9C55C" w14:textId="77777777" w:rsidR="00D167C0" w:rsidRDefault="00D167C0">
      <w:pPr>
        <w:rPr>
          <w:rFonts w:ascii="Arial" w:hAnsi="Arial" w:cs="Arial"/>
          <w:b/>
          <w:bCs/>
          <w:sz w:val="20"/>
          <w:szCs w:val="20"/>
        </w:rPr>
      </w:pPr>
    </w:p>
    <w:p w14:paraId="0285B071" w14:textId="77777777" w:rsidR="00D167C0" w:rsidRDefault="00D167C0">
      <w:pPr>
        <w:rPr>
          <w:rFonts w:ascii="Arial" w:hAnsi="Arial" w:cs="Arial"/>
          <w:b/>
          <w:bCs/>
          <w:sz w:val="20"/>
          <w:szCs w:val="20"/>
        </w:rPr>
      </w:pPr>
    </w:p>
    <w:p w14:paraId="0B18F16E" w14:textId="18F66CEC" w:rsidR="00192878" w:rsidRDefault="00CF156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June</w:t>
      </w:r>
      <w:r w:rsidR="00192878" w:rsidRPr="003432F2">
        <w:rPr>
          <w:rFonts w:ascii="Arial" w:hAnsi="Arial" w:cs="Arial"/>
          <w:b/>
          <w:bCs/>
          <w:sz w:val="20"/>
          <w:szCs w:val="20"/>
        </w:rPr>
        <w:t xml:space="preserve"> Trading Update </w:t>
      </w:r>
    </w:p>
    <w:p w14:paraId="51078C4B" w14:textId="42F36A9F" w:rsidR="00CB1C4C" w:rsidRDefault="001E1121" w:rsidP="003432F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 shop sales continue to trend below the $3,000 per day mark</w:t>
      </w:r>
      <w:r w:rsidR="00CF1568">
        <w:rPr>
          <w:rFonts w:ascii="Arial" w:hAnsi="Arial" w:cs="Arial"/>
          <w:sz w:val="20"/>
          <w:szCs w:val="20"/>
        </w:rPr>
        <w:t xml:space="preserve">, and we even had a day on 10 June which </w:t>
      </w:r>
      <w:proofErr w:type="gramStart"/>
      <w:r w:rsidR="00CF1568">
        <w:rPr>
          <w:rFonts w:ascii="Arial" w:hAnsi="Arial" w:cs="Arial"/>
          <w:sz w:val="20"/>
          <w:szCs w:val="20"/>
        </w:rPr>
        <w:t>didn’t</w:t>
      </w:r>
      <w:proofErr w:type="gramEnd"/>
      <w:r w:rsidR="00CF1568">
        <w:rPr>
          <w:rFonts w:ascii="Arial" w:hAnsi="Arial" w:cs="Arial"/>
          <w:sz w:val="20"/>
          <w:szCs w:val="20"/>
        </w:rPr>
        <w:t xml:space="preserve"> crack $1,000</w:t>
      </w:r>
      <w:r w:rsidR="00C14DBD">
        <w:rPr>
          <w:rFonts w:ascii="Arial" w:hAnsi="Arial" w:cs="Arial"/>
          <w:sz w:val="20"/>
          <w:szCs w:val="20"/>
        </w:rPr>
        <w:t xml:space="preserve"> in revenue</w:t>
      </w:r>
      <w:r>
        <w:rPr>
          <w:rFonts w:ascii="Arial" w:hAnsi="Arial" w:cs="Arial"/>
          <w:sz w:val="20"/>
          <w:szCs w:val="20"/>
        </w:rPr>
        <w:t>. However, this is manageable so long as the restricted spending measures are</w:t>
      </w:r>
      <w:r w:rsidR="00CB1C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kept in place. </w:t>
      </w:r>
      <w:r w:rsidR="00CB1C4C" w:rsidRPr="00585ED1">
        <w:rPr>
          <w:rFonts w:ascii="Arial" w:hAnsi="Arial" w:cs="Arial"/>
          <w:sz w:val="20"/>
          <w:szCs w:val="20"/>
        </w:rPr>
        <w:t xml:space="preserve">The </w:t>
      </w:r>
      <w:r w:rsidR="00CF1568">
        <w:rPr>
          <w:rFonts w:ascii="Arial" w:hAnsi="Arial" w:cs="Arial"/>
          <w:sz w:val="20"/>
          <w:szCs w:val="20"/>
        </w:rPr>
        <w:t>table</w:t>
      </w:r>
      <w:r w:rsidR="00CB1C4C" w:rsidRPr="00585ED1">
        <w:rPr>
          <w:rFonts w:ascii="Arial" w:hAnsi="Arial" w:cs="Arial"/>
          <w:sz w:val="20"/>
          <w:szCs w:val="20"/>
        </w:rPr>
        <w:t xml:space="preserve"> below sets out the </w:t>
      </w:r>
      <w:r w:rsidR="00CF1568">
        <w:rPr>
          <w:rFonts w:ascii="Arial" w:hAnsi="Arial" w:cs="Arial"/>
          <w:sz w:val="20"/>
          <w:szCs w:val="20"/>
        </w:rPr>
        <w:t xml:space="preserve">average </w:t>
      </w:r>
      <w:r w:rsidR="00CB1C4C" w:rsidRPr="00585ED1">
        <w:rPr>
          <w:rFonts w:ascii="Arial" w:hAnsi="Arial" w:cs="Arial"/>
          <w:sz w:val="20"/>
          <w:szCs w:val="20"/>
        </w:rPr>
        <w:t>daily shop revenue b</w:t>
      </w:r>
      <w:r w:rsidR="00CF1568">
        <w:rPr>
          <w:rFonts w:ascii="Arial" w:hAnsi="Arial" w:cs="Arial"/>
          <w:sz w:val="20"/>
          <w:szCs w:val="20"/>
        </w:rPr>
        <w:t>y month since 1 January 2021</w:t>
      </w:r>
      <w:r w:rsidR="00CB1C4C" w:rsidRPr="00585ED1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2105"/>
        <w:gridCol w:w="1572"/>
        <w:gridCol w:w="1943"/>
      </w:tblGrid>
      <w:tr w:rsidR="00CF1568" w:rsidRPr="00CF1568" w14:paraId="3F751D6B" w14:textId="77777777" w:rsidTr="00CF1568">
        <w:trPr>
          <w:trHeight w:val="563"/>
        </w:trPr>
        <w:tc>
          <w:tcPr>
            <w:tcW w:w="2058" w:type="dxa"/>
            <w:noWrap/>
            <w:hideMark/>
          </w:tcPr>
          <w:p w14:paraId="777ED6C3" w14:textId="77777777" w:rsidR="00CF1568" w:rsidRPr="00CF1568" w:rsidRDefault="00CF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568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2105" w:type="dxa"/>
            <w:noWrap/>
            <w:hideMark/>
          </w:tcPr>
          <w:p w14:paraId="5801F22C" w14:textId="77777777" w:rsidR="00CF1568" w:rsidRPr="00CF1568" w:rsidRDefault="00CF1568" w:rsidP="00CF15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568">
              <w:rPr>
                <w:rFonts w:ascii="Arial" w:hAnsi="Arial" w:cs="Arial"/>
                <w:b/>
                <w:bCs/>
                <w:sz w:val="20"/>
                <w:szCs w:val="20"/>
              </w:rPr>
              <w:t>Total Sales ($)</w:t>
            </w:r>
          </w:p>
        </w:tc>
        <w:tc>
          <w:tcPr>
            <w:tcW w:w="1572" w:type="dxa"/>
            <w:hideMark/>
          </w:tcPr>
          <w:p w14:paraId="5DB45B39" w14:textId="77777777" w:rsidR="00CF1568" w:rsidRPr="00CF1568" w:rsidRDefault="00CF1568" w:rsidP="00CF15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568">
              <w:rPr>
                <w:rFonts w:ascii="Arial" w:hAnsi="Arial" w:cs="Arial"/>
                <w:b/>
                <w:bCs/>
                <w:sz w:val="20"/>
                <w:szCs w:val="20"/>
              </w:rPr>
              <w:t>No. Trading Days</w:t>
            </w:r>
          </w:p>
        </w:tc>
        <w:tc>
          <w:tcPr>
            <w:tcW w:w="1943" w:type="dxa"/>
            <w:hideMark/>
          </w:tcPr>
          <w:p w14:paraId="6B1C805B" w14:textId="77777777" w:rsidR="00CF1568" w:rsidRPr="00CF1568" w:rsidRDefault="00CF1568" w:rsidP="00CF15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568">
              <w:rPr>
                <w:rFonts w:ascii="Arial" w:hAnsi="Arial" w:cs="Arial"/>
                <w:b/>
                <w:bCs/>
                <w:sz w:val="20"/>
                <w:szCs w:val="20"/>
              </w:rPr>
              <w:t>Average Daily Sales ($)</w:t>
            </w:r>
          </w:p>
        </w:tc>
      </w:tr>
      <w:tr w:rsidR="00CF1568" w:rsidRPr="00CF1568" w14:paraId="14B542B4" w14:textId="77777777" w:rsidTr="00CF1568">
        <w:trPr>
          <w:trHeight w:val="349"/>
        </w:trPr>
        <w:tc>
          <w:tcPr>
            <w:tcW w:w="2058" w:type="dxa"/>
            <w:noWrap/>
            <w:hideMark/>
          </w:tcPr>
          <w:p w14:paraId="0AF65D2D" w14:textId="77777777" w:rsidR="00CF1568" w:rsidRPr="00CF1568" w:rsidRDefault="00CF1568">
            <w:pPr>
              <w:rPr>
                <w:rFonts w:ascii="Arial" w:hAnsi="Arial" w:cs="Arial"/>
                <w:sz w:val="20"/>
                <w:szCs w:val="20"/>
              </w:rPr>
            </w:pPr>
            <w:r w:rsidRPr="00CF1568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2105" w:type="dxa"/>
            <w:noWrap/>
            <w:hideMark/>
          </w:tcPr>
          <w:p w14:paraId="28614FE1" w14:textId="222A2FC9" w:rsidR="00CF1568" w:rsidRPr="00CF1568" w:rsidRDefault="00CF1568" w:rsidP="00CF15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1568">
              <w:rPr>
                <w:rFonts w:ascii="Arial" w:hAnsi="Arial" w:cs="Arial"/>
                <w:sz w:val="20"/>
                <w:szCs w:val="20"/>
              </w:rPr>
              <w:t xml:space="preserve">           87,807.56 </w:t>
            </w:r>
          </w:p>
        </w:tc>
        <w:tc>
          <w:tcPr>
            <w:tcW w:w="1572" w:type="dxa"/>
            <w:noWrap/>
            <w:hideMark/>
          </w:tcPr>
          <w:p w14:paraId="38423DFC" w14:textId="77777777" w:rsidR="00CF1568" w:rsidRPr="00CF1568" w:rsidRDefault="00CF1568" w:rsidP="00CF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56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43" w:type="dxa"/>
            <w:noWrap/>
            <w:hideMark/>
          </w:tcPr>
          <w:p w14:paraId="6050BED1" w14:textId="301D451F" w:rsidR="00CF1568" w:rsidRPr="00CF1568" w:rsidRDefault="00CF1568" w:rsidP="00CF15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1568">
              <w:rPr>
                <w:rFonts w:ascii="Arial" w:hAnsi="Arial" w:cs="Arial"/>
                <w:sz w:val="20"/>
                <w:szCs w:val="20"/>
              </w:rPr>
              <w:t xml:space="preserve">           3,135.98 </w:t>
            </w:r>
          </w:p>
        </w:tc>
      </w:tr>
      <w:tr w:rsidR="00CF1568" w:rsidRPr="00CF1568" w14:paraId="1B260851" w14:textId="77777777" w:rsidTr="00CF1568">
        <w:trPr>
          <w:trHeight w:val="349"/>
        </w:trPr>
        <w:tc>
          <w:tcPr>
            <w:tcW w:w="2058" w:type="dxa"/>
            <w:noWrap/>
            <w:hideMark/>
          </w:tcPr>
          <w:p w14:paraId="08CCA0A7" w14:textId="77777777" w:rsidR="00CF1568" w:rsidRPr="00CF1568" w:rsidRDefault="00CF1568">
            <w:pPr>
              <w:rPr>
                <w:rFonts w:ascii="Arial" w:hAnsi="Arial" w:cs="Arial"/>
                <w:sz w:val="20"/>
                <w:szCs w:val="20"/>
              </w:rPr>
            </w:pPr>
            <w:r w:rsidRPr="00CF1568">
              <w:rPr>
                <w:rFonts w:ascii="Arial" w:hAnsi="Arial" w:cs="Arial"/>
                <w:sz w:val="20"/>
                <w:szCs w:val="20"/>
              </w:rPr>
              <w:t xml:space="preserve">February </w:t>
            </w:r>
          </w:p>
        </w:tc>
        <w:tc>
          <w:tcPr>
            <w:tcW w:w="2105" w:type="dxa"/>
            <w:noWrap/>
            <w:hideMark/>
          </w:tcPr>
          <w:p w14:paraId="2D3BCF0E" w14:textId="4379797F" w:rsidR="00CF1568" w:rsidRPr="00CF1568" w:rsidRDefault="00CF1568" w:rsidP="00CF15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1568">
              <w:rPr>
                <w:rFonts w:ascii="Arial" w:hAnsi="Arial" w:cs="Arial"/>
                <w:sz w:val="20"/>
                <w:szCs w:val="20"/>
              </w:rPr>
              <w:t xml:space="preserve">            64,209.01 </w:t>
            </w:r>
          </w:p>
        </w:tc>
        <w:tc>
          <w:tcPr>
            <w:tcW w:w="1572" w:type="dxa"/>
            <w:noWrap/>
            <w:hideMark/>
          </w:tcPr>
          <w:p w14:paraId="6A832240" w14:textId="77777777" w:rsidR="00CF1568" w:rsidRPr="00CF1568" w:rsidRDefault="00CF1568" w:rsidP="00CF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56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43" w:type="dxa"/>
            <w:noWrap/>
            <w:hideMark/>
          </w:tcPr>
          <w:p w14:paraId="43C5ED1B" w14:textId="2ECA7F59" w:rsidR="00CF1568" w:rsidRPr="00CF1568" w:rsidRDefault="00CF1568" w:rsidP="00CF15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1568">
              <w:rPr>
                <w:rFonts w:ascii="Arial" w:hAnsi="Arial" w:cs="Arial"/>
                <w:sz w:val="20"/>
                <w:szCs w:val="20"/>
              </w:rPr>
              <w:t xml:space="preserve">            2,293.18 </w:t>
            </w:r>
          </w:p>
        </w:tc>
      </w:tr>
      <w:tr w:rsidR="00CF1568" w:rsidRPr="00CF1568" w14:paraId="1CE65F15" w14:textId="77777777" w:rsidTr="00CF1568">
        <w:trPr>
          <w:trHeight w:val="349"/>
        </w:trPr>
        <w:tc>
          <w:tcPr>
            <w:tcW w:w="2058" w:type="dxa"/>
            <w:noWrap/>
            <w:hideMark/>
          </w:tcPr>
          <w:p w14:paraId="1D19C74C" w14:textId="77777777" w:rsidR="00CF1568" w:rsidRPr="00CF1568" w:rsidRDefault="00CF1568">
            <w:pPr>
              <w:rPr>
                <w:rFonts w:ascii="Arial" w:hAnsi="Arial" w:cs="Arial"/>
                <w:sz w:val="20"/>
                <w:szCs w:val="20"/>
              </w:rPr>
            </w:pPr>
            <w:r w:rsidRPr="00CF1568">
              <w:rPr>
                <w:rFonts w:ascii="Arial" w:hAnsi="Arial" w:cs="Arial"/>
                <w:sz w:val="20"/>
                <w:szCs w:val="20"/>
              </w:rPr>
              <w:t xml:space="preserve">March </w:t>
            </w:r>
          </w:p>
        </w:tc>
        <w:tc>
          <w:tcPr>
            <w:tcW w:w="2105" w:type="dxa"/>
            <w:noWrap/>
            <w:hideMark/>
          </w:tcPr>
          <w:p w14:paraId="00FF671C" w14:textId="1DFADB9C" w:rsidR="00CF1568" w:rsidRPr="00CF1568" w:rsidRDefault="00CF1568" w:rsidP="00CF15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1568">
              <w:rPr>
                <w:rFonts w:ascii="Arial" w:hAnsi="Arial" w:cs="Arial"/>
                <w:sz w:val="20"/>
                <w:szCs w:val="20"/>
              </w:rPr>
              <w:t xml:space="preserve">            68,057.38 </w:t>
            </w:r>
          </w:p>
        </w:tc>
        <w:tc>
          <w:tcPr>
            <w:tcW w:w="1572" w:type="dxa"/>
            <w:noWrap/>
            <w:hideMark/>
          </w:tcPr>
          <w:p w14:paraId="61234EFF" w14:textId="77777777" w:rsidR="00CF1568" w:rsidRPr="00CF1568" w:rsidRDefault="00CF1568" w:rsidP="00CF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56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43" w:type="dxa"/>
            <w:noWrap/>
            <w:hideMark/>
          </w:tcPr>
          <w:p w14:paraId="229A84D3" w14:textId="5AE23532" w:rsidR="00CF1568" w:rsidRPr="00CF1568" w:rsidRDefault="00CF1568" w:rsidP="00CF15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1568">
              <w:rPr>
                <w:rFonts w:ascii="Arial" w:hAnsi="Arial" w:cs="Arial"/>
                <w:sz w:val="20"/>
                <w:szCs w:val="20"/>
              </w:rPr>
              <w:t xml:space="preserve">            2,195.40 </w:t>
            </w:r>
          </w:p>
        </w:tc>
      </w:tr>
      <w:tr w:rsidR="00CF1568" w:rsidRPr="00CF1568" w14:paraId="72810558" w14:textId="77777777" w:rsidTr="00CF1568">
        <w:trPr>
          <w:trHeight w:val="349"/>
        </w:trPr>
        <w:tc>
          <w:tcPr>
            <w:tcW w:w="2058" w:type="dxa"/>
            <w:noWrap/>
            <w:hideMark/>
          </w:tcPr>
          <w:p w14:paraId="4CDA6698" w14:textId="77777777" w:rsidR="00CF1568" w:rsidRPr="00CF1568" w:rsidRDefault="00CF1568">
            <w:pPr>
              <w:rPr>
                <w:rFonts w:ascii="Arial" w:hAnsi="Arial" w:cs="Arial"/>
                <w:sz w:val="20"/>
                <w:szCs w:val="20"/>
              </w:rPr>
            </w:pPr>
            <w:r w:rsidRPr="00CF1568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2105" w:type="dxa"/>
            <w:noWrap/>
            <w:hideMark/>
          </w:tcPr>
          <w:p w14:paraId="719EB75F" w14:textId="3FAFC393" w:rsidR="00CF1568" w:rsidRPr="00CF1568" w:rsidRDefault="00CF1568" w:rsidP="00CF15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1568">
              <w:rPr>
                <w:rFonts w:ascii="Arial" w:hAnsi="Arial" w:cs="Arial"/>
                <w:sz w:val="20"/>
                <w:szCs w:val="20"/>
              </w:rPr>
              <w:t xml:space="preserve">            67,311.98 </w:t>
            </w:r>
          </w:p>
        </w:tc>
        <w:tc>
          <w:tcPr>
            <w:tcW w:w="1572" w:type="dxa"/>
            <w:noWrap/>
            <w:hideMark/>
          </w:tcPr>
          <w:p w14:paraId="70EDB5C3" w14:textId="77777777" w:rsidR="00CF1568" w:rsidRPr="00CF1568" w:rsidRDefault="00CF1568" w:rsidP="00CF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56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43" w:type="dxa"/>
            <w:noWrap/>
            <w:hideMark/>
          </w:tcPr>
          <w:p w14:paraId="6A62FC96" w14:textId="2D781B3C" w:rsidR="00CF1568" w:rsidRPr="00CF1568" w:rsidRDefault="00CF1568" w:rsidP="00CF15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1568">
              <w:rPr>
                <w:rFonts w:ascii="Arial" w:hAnsi="Arial" w:cs="Arial"/>
                <w:sz w:val="20"/>
                <w:szCs w:val="20"/>
              </w:rPr>
              <w:t xml:space="preserve">            2,404.00 </w:t>
            </w:r>
          </w:p>
        </w:tc>
      </w:tr>
      <w:tr w:rsidR="00CF1568" w:rsidRPr="00CF1568" w14:paraId="47852B7B" w14:textId="77777777" w:rsidTr="00CF1568">
        <w:trPr>
          <w:trHeight w:val="349"/>
        </w:trPr>
        <w:tc>
          <w:tcPr>
            <w:tcW w:w="2058" w:type="dxa"/>
            <w:noWrap/>
            <w:hideMark/>
          </w:tcPr>
          <w:p w14:paraId="5AB6EEAA" w14:textId="77777777" w:rsidR="00CF1568" w:rsidRPr="00CF1568" w:rsidRDefault="00CF1568">
            <w:pPr>
              <w:rPr>
                <w:rFonts w:ascii="Arial" w:hAnsi="Arial" w:cs="Arial"/>
                <w:sz w:val="20"/>
                <w:szCs w:val="20"/>
              </w:rPr>
            </w:pPr>
            <w:r w:rsidRPr="00CF1568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2105" w:type="dxa"/>
            <w:noWrap/>
            <w:hideMark/>
          </w:tcPr>
          <w:p w14:paraId="36EEC69A" w14:textId="74C5A054" w:rsidR="00CF1568" w:rsidRPr="00CF1568" w:rsidRDefault="00CF1568" w:rsidP="00CF15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1568">
              <w:rPr>
                <w:rFonts w:ascii="Arial" w:hAnsi="Arial" w:cs="Arial"/>
                <w:sz w:val="20"/>
                <w:szCs w:val="20"/>
              </w:rPr>
              <w:t xml:space="preserve">            65,998.09 </w:t>
            </w:r>
          </w:p>
        </w:tc>
        <w:tc>
          <w:tcPr>
            <w:tcW w:w="1572" w:type="dxa"/>
            <w:noWrap/>
            <w:hideMark/>
          </w:tcPr>
          <w:p w14:paraId="0145C96E" w14:textId="77777777" w:rsidR="00CF1568" w:rsidRPr="00CF1568" w:rsidRDefault="00CF1568" w:rsidP="00CF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56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43" w:type="dxa"/>
            <w:noWrap/>
            <w:hideMark/>
          </w:tcPr>
          <w:p w14:paraId="6D4D3F60" w14:textId="28C4084C" w:rsidR="00CF1568" w:rsidRPr="00CF1568" w:rsidRDefault="00CF1568" w:rsidP="00CF15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1568">
              <w:rPr>
                <w:rFonts w:ascii="Arial" w:hAnsi="Arial" w:cs="Arial"/>
                <w:sz w:val="20"/>
                <w:szCs w:val="20"/>
              </w:rPr>
              <w:t xml:space="preserve">            2,128.97 </w:t>
            </w:r>
          </w:p>
        </w:tc>
      </w:tr>
      <w:tr w:rsidR="00CF1568" w:rsidRPr="00CF1568" w14:paraId="3FBF4C8F" w14:textId="77777777" w:rsidTr="00CF1568">
        <w:trPr>
          <w:trHeight w:val="349"/>
        </w:trPr>
        <w:tc>
          <w:tcPr>
            <w:tcW w:w="2058" w:type="dxa"/>
            <w:noWrap/>
            <w:hideMark/>
          </w:tcPr>
          <w:p w14:paraId="5AE1D863" w14:textId="77777777" w:rsidR="00CF1568" w:rsidRPr="00CF1568" w:rsidRDefault="00CF1568">
            <w:pPr>
              <w:rPr>
                <w:rFonts w:ascii="Arial" w:hAnsi="Arial" w:cs="Arial"/>
                <w:sz w:val="20"/>
                <w:szCs w:val="20"/>
              </w:rPr>
            </w:pPr>
            <w:r w:rsidRPr="00CF1568">
              <w:rPr>
                <w:rFonts w:ascii="Arial" w:hAnsi="Arial" w:cs="Arial"/>
                <w:sz w:val="20"/>
                <w:szCs w:val="20"/>
              </w:rPr>
              <w:t>June (1st - 22nd)</w:t>
            </w:r>
          </w:p>
        </w:tc>
        <w:tc>
          <w:tcPr>
            <w:tcW w:w="2105" w:type="dxa"/>
            <w:noWrap/>
            <w:hideMark/>
          </w:tcPr>
          <w:p w14:paraId="25372B7A" w14:textId="5DC3ED5A" w:rsidR="00CF1568" w:rsidRPr="00CF1568" w:rsidRDefault="00CF1568" w:rsidP="00CF15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1568">
              <w:rPr>
                <w:rFonts w:ascii="Arial" w:hAnsi="Arial" w:cs="Arial"/>
                <w:sz w:val="20"/>
                <w:szCs w:val="20"/>
              </w:rPr>
              <w:t xml:space="preserve">            46,420.44 </w:t>
            </w:r>
          </w:p>
        </w:tc>
        <w:tc>
          <w:tcPr>
            <w:tcW w:w="1572" w:type="dxa"/>
            <w:noWrap/>
            <w:hideMark/>
          </w:tcPr>
          <w:p w14:paraId="508BB52C" w14:textId="77777777" w:rsidR="00CF1568" w:rsidRPr="00CF1568" w:rsidRDefault="00CF1568" w:rsidP="00CF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56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43" w:type="dxa"/>
            <w:noWrap/>
            <w:hideMark/>
          </w:tcPr>
          <w:p w14:paraId="1AB22843" w14:textId="3CBF0599" w:rsidR="00CF1568" w:rsidRPr="00CF1568" w:rsidRDefault="00CF1568" w:rsidP="00CF15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1568">
              <w:rPr>
                <w:rFonts w:ascii="Arial" w:hAnsi="Arial" w:cs="Arial"/>
                <w:sz w:val="20"/>
                <w:szCs w:val="20"/>
              </w:rPr>
              <w:t xml:space="preserve">            2,110.02 </w:t>
            </w:r>
          </w:p>
        </w:tc>
      </w:tr>
      <w:tr w:rsidR="00CF1568" w:rsidRPr="00CF1568" w14:paraId="51B69912" w14:textId="77777777" w:rsidTr="00CF1568">
        <w:trPr>
          <w:trHeight w:val="349"/>
        </w:trPr>
        <w:tc>
          <w:tcPr>
            <w:tcW w:w="2058" w:type="dxa"/>
            <w:noWrap/>
            <w:hideMark/>
          </w:tcPr>
          <w:p w14:paraId="28E8E8F6" w14:textId="77777777" w:rsidR="00CF1568" w:rsidRPr="00CF1568" w:rsidRDefault="00CF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568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05" w:type="dxa"/>
            <w:noWrap/>
            <w:hideMark/>
          </w:tcPr>
          <w:p w14:paraId="0A3DE523" w14:textId="587CACF9" w:rsidR="00CF1568" w:rsidRPr="00CF1568" w:rsidRDefault="00CF1568" w:rsidP="00CF15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5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399,804.46 </w:t>
            </w:r>
          </w:p>
        </w:tc>
        <w:tc>
          <w:tcPr>
            <w:tcW w:w="1572" w:type="dxa"/>
            <w:noWrap/>
            <w:hideMark/>
          </w:tcPr>
          <w:p w14:paraId="038C12EF" w14:textId="77777777" w:rsidR="00CF1568" w:rsidRPr="00CF1568" w:rsidRDefault="00CF1568" w:rsidP="00CF15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568"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1943" w:type="dxa"/>
            <w:noWrap/>
            <w:hideMark/>
          </w:tcPr>
          <w:p w14:paraId="2FBF1C8A" w14:textId="2975BE4D" w:rsidR="00CF1568" w:rsidRPr="00CF1568" w:rsidRDefault="00CF1568" w:rsidP="00CF15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5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2,379.79 </w:t>
            </w:r>
          </w:p>
        </w:tc>
      </w:tr>
    </w:tbl>
    <w:p w14:paraId="383A4F6E" w14:textId="4204C17F" w:rsidR="00CB1C4C" w:rsidRDefault="00BB7BA5" w:rsidP="003432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6CE78EC" w14:textId="26AD2A99" w:rsidR="00CB1C4C" w:rsidRDefault="00CF1568" w:rsidP="003432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above data suggests that the shop sales have evened out over the last few months, hovering between $64,000 and $68,000. The averages daily sales have also become a bit </w:t>
      </w:r>
      <w:proofErr w:type="gramStart"/>
      <w:r>
        <w:rPr>
          <w:rFonts w:ascii="Arial" w:hAnsi="Arial" w:cs="Arial"/>
          <w:sz w:val="20"/>
          <w:szCs w:val="20"/>
        </w:rPr>
        <w:t>more steady</w:t>
      </w:r>
      <w:proofErr w:type="gramEnd"/>
      <w:r>
        <w:rPr>
          <w:rFonts w:ascii="Arial" w:hAnsi="Arial" w:cs="Arial"/>
          <w:sz w:val="20"/>
          <w:szCs w:val="20"/>
        </w:rPr>
        <w:t xml:space="preserve">, hovering between $2,100 and $2,400 per day. </w:t>
      </w:r>
      <w:r w:rsidR="00106113">
        <w:rPr>
          <w:rFonts w:ascii="Arial" w:hAnsi="Arial" w:cs="Arial"/>
          <w:sz w:val="20"/>
          <w:szCs w:val="20"/>
        </w:rPr>
        <w:t>This shows that the business has well and truly stabilised over the past few months</w:t>
      </w:r>
      <w:r w:rsidR="008C143D">
        <w:rPr>
          <w:rFonts w:ascii="Arial" w:hAnsi="Arial" w:cs="Arial"/>
          <w:sz w:val="20"/>
          <w:szCs w:val="20"/>
        </w:rPr>
        <w:t xml:space="preserve"> – this is likely the “new baseline” for the Co-op’s finances</w:t>
      </w:r>
      <w:r w:rsidR="00106113">
        <w:rPr>
          <w:rFonts w:ascii="Arial" w:hAnsi="Arial" w:cs="Arial"/>
          <w:sz w:val="20"/>
          <w:szCs w:val="20"/>
        </w:rPr>
        <w:t xml:space="preserve">. With the addition of new purchases budgets, controlled spending, and the comprehensive review of product lines/profit margins, profitability should continue to be positive (all other things remaining the same). </w:t>
      </w:r>
    </w:p>
    <w:p w14:paraId="3323C406" w14:textId="53CBC66A" w:rsidR="00106113" w:rsidRPr="00CB1C4C" w:rsidRDefault="00106113" w:rsidP="003432F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Despite this, we are not out of the woods yet, and we need to continue to remain vigilant with spending initiatives, member engagement and store improvements. </w:t>
      </w:r>
    </w:p>
    <w:sectPr w:rsidR="00106113" w:rsidRPr="00CB1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293"/>
    <w:multiLevelType w:val="hybridMultilevel"/>
    <w:tmpl w:val="A0D6C2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966"/>
    <w:multiLevelType w:val="hybridMultilevel"/>
    <w:tmpl w:val="D66471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33444"/>
    <w:multiLevelType w:val="hybridMultilevel"/>
    <w:tmpl w:val="8A7AD3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74944"/>
    <w:multiLevelType w:val="hybridMultilevel"/>
    <w:tmpl w:val="EA321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C6B5D"/>
    <w:multiLevelType w:val="hybridMultilevel"/>
    <w:tmpl w:val="17DCC5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F1B0F"/>
    <w:multiLevelType w:val="hybridMultilevel"/>
    <w:tmpl w:val="9BA6CE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072740"/>
    <w:multiLevelType w:val="hybridMultilevel"/>
    <w:tmpl w:val="E7043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225CC"/>
    <w:multiLevelType w:val="hybridMultilevel"/>
    <w:tmpl w:val="996432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78"/>
    <w:rsid w:val="00051284"/>
    <w:rsid w:val="00106113"/>
    <w:rsid w:val="00192878"/>
    <w:rsid w:val="001E1121"/>
    <w:rsid w:val="00242F35"/>
    <w:rsid w:val="002817CC"/>
    <w:rsid w:val="0028534C"/>
    <w:rsid w:val="002F56C2"/>
    <w:rsid w:val="003266E3"/>
    <w:rsid w:val="003432F2"/>
    <w:rsid w:val="0040137C"/>
    <w:rsid w:val="00585ED1"/>
    <w:rsid w:val="006918EF"/>
    <w:rsid w:val="00721E84"/>
    <w:rsid w:val="00856FE5"/>
    <w:rsid w:val="008C143D"/>
    <w:rsid w:val="00944002"/>
    <w:rsid w:val="009D405E"/>
    <w:rsid w:val="009F51A9"/>
    <w:rsid w:val="00A31DFF"/>
    <w:rsid w:val="00B63952"/>
    <w:rsid w:val="00B71105"/>
    <w:rsid w:val="00B83224"/>
    <w:rsid w:val="00BB7BA5"/>
    <w:rsid w:val="00C04DD0"/>
    <w:rsid w:val="00C14DBD"/>
    <w:rsid w:val="00C14E13"/>
    <w:rsid w:val="00CB1C4C"/>
    <w:rsid w:val="00CF1568"/>
    <w:rsid w:val="00D167C0"/>
    <w:rsid w:val="00D574D9"/>
    <w:rsid w:val="00E22DD8"/>
    <w:rsid w:val="00E23DEA"/>
    <w:rsid w:val="00E7440F"/>
    <w:rsid w:val="00EC4586"/>
    <w:rsid w:val="00F32F16"/>
    <w:rsid w:val="00FB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CCFC"/>
  <w15:chartTrackingRefBased/>
  <w15:docId w15:val="{CD39904A-EEAD-4F9E-B165-0A7C111A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878"/>
    <w:pPr>
      <w:ind w:left="720"/>
      <w:contextualSpacing/>
    </w:pPr>
  </w:style>
  <w:style w:type="table" w:styleId="TableGrid">
    <w:name w:val="Table Grid"/>
    <w:basedOn w:val="TableNormal"/>
    <w:uiPriority w:val="39"/>
    <w:rsid w:val="00EC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Whittingham</dc:creator>
  <cp:keywords/>
  <dc:description/>
  <cp:lastModifiedBy>andrew.m.whittingham@gmail.com</cp:lastModifiedBy>
  <cp:revision>5</cp:revision>
  <dcterms:created xsi:type="dcterms:W3CDTF">2021-05-26T22:29:00Z</dcterms:created>
  <dcterms:modified xsi:type="dcterms:W3CDTF">2021-06-23T23:41:00Z</dcterms:modified>
</cp:coreProperties>
</file>