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A2DAD" w14:textId="4B041046" w:rsidR="00FD1B7C" w:rsidRDefault="00192878">
      <w:pPr>
        <w:rPr>
          <w:rFonts w:ascii="Arial" w:hAnsi="Arial" w:cs="Arial"/>
          <w:b/>
          <w:bCs/>
          <w:sz w:val="20"/>
          <w:szCs w:val="20"/>
        </w:rPr>
      </w:pPr>
      <w:r w:rsidRPr="00242F35">
        <w:rPr>
          <w:rFonts w:ascii="Arial" w:hAnsi="Arial" w:cs="Arial"/>
          <w:b/>
          <w:bCs/>
          <w:sz w:val="20"/>
          <w:szCs w:val="20"/>
        </w:rPr>
        <w:t xml:space="preserve">Treasurer’s Report – Members Committee Meeting </w:t>
      </w:r>
      <w:r w:rsidR="00FB3D8D">
        <w:rPr>
          <w:rFonts w:ascii="Arial" w:hAnsi="Arial" w:cs="Arial"/>
          <w:b/>
          <w:bCs/>
          <w:sz w:val="20"/>
          <w:szCs w:val="20"/>
        </w:rPr>
        <w:t>25 March 2021</w:t>
      </w:r>
    </w:p>
    <w:p w14:paraId="2E19B970" w14:textId="566D9894" w:rsidR="00FB3D8D" w:rsidRDefault="00FB3D8D">
      <w:pPr>
        <w:rPr>
          <w:rFonts w:ascii="Arial" w:hAnsi="Arial" w:cs="Arial"/>
          <w:b/>
          <w:bCs/>
          <w:sz w:val="20"/>
          <w:szCs w:val="20"/>
        </w:rPr>
      </w:pPr>
      <w:r>
        <w:rPr>
          <w:rFonts w:ascii="Arial" w:hAnsi="Arial" w:cs="Arial"/>
          <w:b/>
          <w:bCs/>
          <w:sz w:val="20"/>
          <w:szCs w:val="20"/>
        </w:rPr>
        <w:t xml:space="preserve">February </w:t>
      </w:r>
      <w:r w:rsidR="00A31DFF">
        <w:rPr>
          <w:rFonts w:ascii="Arial" w:hAnsi="Arial" w:cs="Arial"/>
          <w:b/>
          <w:bCs/>
          <w:sz w:val="20"/>
          <w:szCs w:val="20"/>
        </w:rPr>
        <w:t>Results</w:t>
      </w:r>
      <w:r>
        <w:rPr>
          <w:rFonts w:ascii="Arial" w:hAnsi="Arial" w:cs="Arial"/>
          <w:b/>
          <w:bCs/>
          <w:sz w:val="20"/>
          <w:szCs w:val="20"/>
        </w:rPr>
        <w:t xml:space="preserve"> </w:t>
      </w:r>
    </w:p>
    <w:p w14:paraId="0FB59EDE" w14:textId="3A05E6BB" w:rsidR="00FB3D8D" w:rsidRPr="00A31DFF" w:rsidRDefault="00A31DFF">
      <w:pPr>
        <w:rPr>
          <w:rFonts w:ascii="Arial" w:hAnsi="Arial" w:cs="Arial"/>
          <w:sz w:val="20"/>
          <w:szCs w:val="20"/>
        </w:rPr>
      </w:pPr>
      <w:r>
        <w:rPr>
          <w:rFonts w:ascii="Arial" w:hAnsi="Arial" w:cs="Arial"/>
          <w:sz w:val="20"/>
          <w:szCs w:val="20"/>
        </w:rPr>
        <w:t xml:space="preserve">Trading throughout February declined significantly. </w:t>
      </w:r>
      <w:r>
        <w:rPr>
          <w:rFonts w:ascii="Arial" w:hAnsi="Arial" w:cs="Arial"/>
          <w:sz w:val="20"/>
          <w:szCs w:val="20"/>
        </w:rPr>
        <w:t xml:space="preserve">The table below sets out a summary Profit and Loss for </w:t>
      </w:r>
      <w:r>
        <w:rPr>
          <w:rFonts w:ascii="Arial" w:hAnsi="Arial" w:cs="Arial"/>
          <w:sz w:val="20"/>
          <w:szCs w:val="20"/>
        </w:rPr>
        <w:t xml:space="preserve">February </w:t>
      </w:r>
      <w:r>
        <w:rPr>
          <w:rFonts w:ascii="Arial" w:hAnsi="Arial" w:cs="Arial"/>
          <w:sz w:val="20"/>
          <w:szCs w:val="20"/>
        </w:rPr>
        <w:t>2021 as compared t</w:t>
      </w:r>
      <w:r>
        <w:rPr>
          <w:rFonts w:ascii="Arial" w:hAnsi="Arial" w:cs="Arial"/>
          <w:sz w:val="20"/>
          <w:szCs w:val="20"/>
        </w:rPr>
        <w:t>o January</w:t>
      </w:r>
      <w:r>
        <w:rPr>
          <w:rFonts w:ascii="Arial" w:hAnsi="Arial" w:cs="Arial"/>
          <w:sz w:val="20"/>
          <w:szCs w:val="20"/>
        </w:rPr>
        <w:t xml:space="preserve"> 202</w:t>
      </w:r>
      <w:r>
        <w:rPr>
          <w:rFonts w:ascii="Arial" w:hAnsi="Arial" w:cs="Arial"/>
          <w:sz w:val="20"/>
          <w:szCs w:val="20"/>
        </w:rPr>
        <w:t>1</w:t>
      </w:r>
      <w:r>
        <w:rPr>
          <w:rFonts w:ascii="Arial" w:hAnsi="Arial" w:cs="Arial"/>
          <w:sz w:val="20"/>
          <w:szCs w:val="20"/>
        </w:rPr>
        <w:t>:</w:t>
      </w:r>
    </w:p>
    <w:p w14:paraId="32D66A12" w14:textId="138854EA" w:rsidR="00192878" w:rsidRDefault="00A31DFF">
      <w:pPr>
        <w:rPr>
          <w:rFonts w:ascii="Arial" w:hAnsi="Arial" w:cs="Arial"/>
          <w:sz w:val="20"/>
          <w:szCs w:val="20"/>
        </w:rPr>
      </w:pPr>
      <w:r w:rsidRPr="00A31DFF">
        <w:drawing>
          <wp:inline distT="0" distB="0" distL="0" distR="0" wp14:anchorId="4BC275C0" wp14:editId="25644A6F">
            <wp:extent cx="4889500" cy="4978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9500" cy="4978400"/>
                    </a:xfrm>
                    <a:prstGeom prst="rect">
                      <a:avLst/>
                    </a:prstGeom>
                    <a:noFill/>
                    <a:ln>
                      <a:noFill/>
                    </a:ln>
                  </pic:spPr>
                </pic:pic>
              </a:graphicData>
            </a:graphic>
          </wp:inline>
        </w:drawing>
      </w:r>
    </w:p>
    <w:p w14:paraId="09E400C4" w14:textId="0AFE12FB" w:rsidR="00A31DFF" w:rsidRDefault="00A31DFF">
      <w:pPr>
        <w:rPr>
          <w:rFonts w:ascii="Arial" w:hAnsi="Arial" w:cs="Arial"/>
          <w:sz w:val="20"/>
          <w:szCs w:val="20"/>
        </w:rPr>
      </w:pPr>
    </w:p>
    <w:p w14:paraId="502AEE5D" w14:textId="732E2948" w:rsidR="00A31DFF" w:rsidRDefault="00A31DFF">
      <w:pPr>
        <w:rPr>
          <w:rFonts w:ascii="Arial" w:hAnsi="Arial" w:cs="Arial"/>
          <w:sz w:val="20"/>
          <w:szCs w:val="20"/>
        </w:rPr>
      </w:pPr>
      <w:r>
        <w:rPr>
          <w:rFonts w:ascii="Arial" w:hAnsi="Arial" w:cs="Arial"/>
          <w:sz w:val="20"/>
          <w:szCs w:val="20"/>
        </w:rPr>
        <w:t>Notes:</w:t>
      </w:r>
    </w:p>
    <w:p w14:paraId="4CF2B415" w14:textId="3AB51AD0" w:rsidR="00A31DFF" w:rsidRDefault="00A31DFF" w:rsidP="00A31DFF">
      <w:pPr>
        <w:pStyle w:val="ListParagraph"/>
        <w:numPr>
          <w:ilvl w:val="0"/>
          <w:numId w:val="6"/>
        </w:numPr>
        <w:rPr>
          <w:rFonts w:ascii="Arial" w:hAnsi="Arial" w:cs="Arial"/>
          <w:sz w:val="20"/>
          <w:szCs w:val="20"/>
        </w:rPr>
      </w:pPr>
      <w:r>
        <w:rPr>
          <w:rFonts w:ascii="Arial" w:hAnsi="Arial" w:cs="Arial"/>
          <w:sz w:val="20"/>
          <w:szCs w:val="20"/>
        </w:rPr>
        <w:t>Shop trading declined significantly after a good month in January. In February, the daily sales average was $x, compared to January daily sales average of $x. Reasons for this decline include:</w:t>
      </w:r>
    </w:p>
    <w:p w14:paraId="50D26844" w14:textId="3CF6C61D" w:rsidR="00A31DFF" w:rsidRDefault="00A31DFF" w:rsidP="00A31DFF">
      <w:pPr>
        <w:pStyle w:val="ListParagraph"/>
        <w:numPr>
          <w:ilvl w:val="1"/>
          <w:numId w:val="6"/>
        </w:numPr>
        <w:rPr>
          <w:rFonts w:ascii="Arial" w:hAnsi="Arial" w:cs="Arial"/>
          <w:sz w:val="20"/>
          <w:szCs w:val="20"/>
        </w:rPr>
      </w:pPr>
      <w:r>
        <w:rPr>
          <w:rFonts w:ascii="Arial" w:hAnsi="Arial" w:cs="Arial"/>
          <w:sz w:val="20"/>
          <w:szCs w:val="20"/>
        </w:rPr>
        <w:t xml:space="preserve">Historically, February has been the worst trading month for the Co-op. The Co-op made a loss in both February 2019 and February 2018 despite $85,000 in sales each of those periods. </w:t>
      </w:r>
    </w:p>
    <w:p w14:paraId="0B3807F4" w14:textId="477AB07D" w:rsidR="00A31DFF" w:rsidRDefault="00A31DFF" w:rsidP="00A31DFF">
      <w:pPr>
        <w:pStyle w:val="ListParagraph"/>
        <w:numPr>
          <w:ilvl w:val="1"/>
          <w:numId w:val="6"/>
        </w:numPr>
        <w:rPr>
          <w:rFonts w:ascii="Arial" w:hAnsi="Arial" w:cs="Arial"/>
          <w:sz w:val="20"/>
          <w:szCs w:val="20"/>
        </w:rPr>
      </w:pPr>
      <w:r>
        <w:rPr>
          <w:rFonts w:ascii="Arial" w:hAnsi="Arial" w:cs="Arial"/>
          <w:sz w:val="20"/>
          <w:szCs w:val="20"/>
        </w:rPr>
        <w:t xml:space="preserve">There appeared to be confusion in the membership base about whether the Co-op was still open. Mixed messaging about the closure of the store adversely affected the </w:t>
      </w:r>
      <w:proofErr w:type="gramStart"/>
      <w:r>
        <w:rPr>
          <w:rFonts w:ascii="Arial" w:hAnsi="Arial" w:cs="Arial"/>
          <w:sz w:val="20"/>
          <w:szCs w:val="20"/>
        </w:rPr>
        <w:t>amount</w:t>
      </w:r>
      <w:proofErr w:type="gramEnd"/>
      <w:r>
        <w:rPr>
          <w:rFonts w:ascii="Arial" w:hAnsi="Arial" w:cs="Arial"/>
          <w:sz w:val="20"/>
          <w:szCs w:val="20"/>
        </w:rPr>
        <w:t xml:space="preserve"> of members who were willing to come in and shop. </w:t>
      </w:r>
    </w:p>
    <w:p w14:paraId="48D191D6" w14:textId="01056EA3" w:rsidR="00A31DFF" w:rsidRDefault="00A31DFF" w:rsidP="00A31DFF">
      <w:pPr>
        <w:pStyle w:val="ListParagraph"/>
        <w:numPr>
          <w:ilvl w:val="1"/>
          <w:numId w:val="6"/>
        </w:numPr>
        <w:rPr>
          <w:rFonts w:ascii="Arial" w:hAnsi="Arial" w:cs="Arial"/>
          <w:sz w:val="20"/>
          <w:szCs w:val="20"/>
        </w:rPr>
      </w:pPr>
      <w:r>
        <w:rPr>
          <w:rFonts w:ascii="Arial" w:hAnsi="Arial" w:cs="Arial"/>
          <w:sz w:val="20"/>
          <w:szCs w:val="20"/>
        </w:rPr>
        <w:t xml:space="preserve">The push throughout January to have members “stocking up” to help keep the Co-op alive meant that a lot of members had done a month’s worth of shopping in January, and therefore did not need to shop extensively throughout February. </w:t>
      </w:r>
    </w:p>
    <w:p w14:paraId="487209A7" w14:textId="55A7044C" w:rsidR="00A31DFF" w:rsidRDefault="00A31DFF" w:rsidP="00A31DFF">
      <w:pPr>
        <w:pStyle w:val="ListParagraph"/>
        <w:numPr>
          <w:ilvl w:val="0"/>
          <w:numId w:val="6"/>
        </w:numPr>
        <w:rPr>
          <w:rFonts w:ascii="Arial" w:hAnsi="Arial" w:cs="Arial"/>
          <w:sz w:val="20"/>
          <w:szCs w:val="20"/>
        </w:rPr>
      </w:pPr>
      <w:r>
        <w:rPr>
          <w:rFonts w:ascii="Arial" w:hAnsi="Arial" w:cs="Arial"/>
          <w:sz w:val="20"/>
          <w:szCs w:val="20"/>
        </w:rPr>
        <w:lastRenderedPageBreak/>
        <w:t xml:space="preserve">Administrative expenses increased in February primarily due to the annual leave loading issue. </w:t>
      </w:r>
      <w:r w:rsidR="001E1121">
        <w:rPr>
          <w:rFonts w:ascii="Arial" w:hAnsi="Arial" w:cs="Arial"/>
          <w:sz w:val="20"/>
          <w:szCs w:val="20"/>
        </w:rPr>
        <w:t xml:space="preserve">Additional one-off expenses were incurred for legal fees, bookkeeping fees and ATO fees. </w:t>
      </w:r>
    </w:p>
    <w:p w14:paraId="035CC396" w14:textId="297FDF44" w:rsidR="001E1121" w:rsidRDefault="001E1121" w:rsidP="00A31DFF">
      <w:pPr>
        <w:pStyle w:val="ListParagraph"/>
        <w:numPr>
          <w:ilvl w:val="0"/>
          <w:numId w:val="6"/>
        </w:numPr>
        <w:rPr>
          <w:rFonts w:ascii="Arial" w:hAnsi="Arial" w:cs="Arial"/>
          <w:sz w:val="20"/>
          <w:szCs w:val="20"/>
        </w:rPr>
      </w:pPr>
      <w:r>
        <w:rPr>
          <w:rFonts w:ascii="Arial" w:hAnsi="Arial" w:cs="Arial"/>
          <w:sz w:val="20"/>
          <w:szCs w:val="20"/>
        </w:rPr>
        <w:t xml:space="preserve">February results show that Rent almost doubled in the month. However, this is only a timing issue which saw the March rent invoiced in February. </w:t>
      </w:r>
    </w:p>
    <w:p w14:paraId="09CA1B60" w14:textId="615A6084" w:rsidR="00A31DFF" w:rsidRPr="001E1121" w:rsidRDefault="001E1121" w:rsidP="00D5613A">
      <w:pPr>
        <w:pStyle w:val="ListParagraph"/>
        <w:numPr>
          <w:ilvl w:val="0"/>
          <w:numId w:val="6"/>
        </w:numPr>
        <w:rPr>
          <w:rFonts w:ascii="Arial" w:hAnsi="Arial" w:cs="Arial"/>
          <w:sz w:val="20"/>
          <w:szCs w:val="20"/>
        </w:rPr>
      </w:pPr>
      <w:r w:rsidRPr="001E1121">
        <w:rPr>
          <w:rFonts w:ascii="Arial" w:hAnsi="Arial" w:cs="Arial"/>
          <w:sz w:val="20"/>
          <w:szCs w:val="20"/>
        </w:rPr>
        <w:t xml:space="preserve">The adjusted net profit has been calculated by adding back the annual leave loading payments and additional rent payments which were abnormal. The adjusted net profit shows that the underlying performance of the store is actually profitable, it was the abnormal payments which contributed to the loss which was recorded. </w:t>
      </w:r>
    </w:p>
    <w:p w14:paraId="0B18F16E" w14:textId="3C19F354" w:rsidR="00192878" w:rsidRDefault="001E1121">
      <w:pPr>
        <w:rPr>
          <w:rFonts w:ascii="Arial" w:hAnsi="Arial" w:cs="Arial"/>
          <w:b/>
          <w:bCs/>
          <w:sz w:val="20"/>
          <w:szCs w:val="20"/>
        </w:rPr>
      </w:pPr>
      <w:r>
        <w:rPr>
          <w:rFonts w:ascii="Arial" w:hAnsi="Arial" w:cs="Arial"/>
          <w:b/>
          <w:bCs/>
          <w:sz w:val="20"/>
          <w:szCs w:val="20"/>
        </w:rPr>
        <w:t>March</w:t>
      </w:r>
      <w:r w:rsidR="00192878" w:rsidRPr="003432F2">
        <w:rPr>
          <w:rFonts w:ascii="Arial" w:hAnsi="Arial" w:cs="Arial"/>
          <w:b/>
          <w:bCs/>
          <w:sz w:val="20"/>
          <w:szCs w:val="20"/>
        </w:rPr>
        <w:t xml:space="preserve"> Trading Update </w:t>
      </w:r>
    </w:p>
    <w:p w14:paraId="4A98B781" w14:textId="5D2103F0" w:rsidR="001E1121" w:rsidRPr="001E1121" w:rsidRDefault="001E1121">
      <w:pPr>
        <w:rPr>
          <w:rFonts w:ascii="Arial" w:hAnsi="Arial" w:cs="Arial"/>
          <w:sz w:val="20"/>
          <w:szCs w:val="20"/>
        </w:rPr>
      </w:pPr>
      <w:r>
        <w:rPr>
          <w:rFonts w:ascii="Arial" w:hAnsi="Arial" w:cs="Arial"/>
          <w:sz w:val="20"/>
          <w:szCs w:val="20"/>
        </w:rPr>
        <w:t>Daily shop sales continue to trend below the $3,000 per day mark. However, this is manageable so long as the restricted spending measures are kept in place. The chart below sets out the daily sales figures for February and March 2021:</w:t>
      </w:r>
    </w:p>
    <w:p w14:paraId="741C1324" w14:textId="16DB8E7D" w:rsidR="002817CC" w:rsidRDefault="001E1121">
      <w:pPr>
        <w:rPr>
          <w:rFonts w:ascii="Arial" w:hAnsi="Arial" w:cs="Arial"/>
          <w:sz w:val="20"/>
          <w:szCs w:val="20"/>
        </w:rPr>
      </w:pPr>
      <w:r>
        <w:rPr>
          <w:noProof/>
        </w:rPr>
        <w:drawing>
          <wp:inline distT="0" distB="0" distL="0" distR="0" wp14:anchorId="7FF621BB" wp14:editId="4BF420A3">
            <wp:extent cx="5731510" cy="2238375"/>
            <wp:effectExtent l="0" t="0" r="2540" b="9525"/>
            <wp:docPr id="1" name="Chart 1">
              <a:extLst xmlns:a="http://schemas.openxmlformats.org/drawingml/2006/main">
                <a:ext uri="{FF2B5EF4-FFF2-40B4-BE49-F238E27FC236}">
                  <a16:creationId xmlns:a16="http://schemas.microsoft.com/office/drawing/2014/main" id="{C001D560-711B-4D7A-9A25-00A827B8AD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8B51E85" w14:textId="56A0FBBB" w:rsidR="001E1121" w:rsidRDefault="001E1121">
      <w:pPr>
        <w:rPr>
          <w:rFonts w:ascii="Arial" w:hAnsi="Arial" w:cs="Arial"/>
          <w:sz w:val="20"/>
          <w:szCs w:val="20"/>
        </w:rPr>
      </w:pPr>
    </w:p>
    <w:p w14:paraId="78E62433" w14:textId="7271DABE" w:rsidR="001E1121" w:rsidRDefault="001E1121">
      <w:pPr>
        <w:rPr>
          <w:rFonts w:ascii="Arial" w:hAnsi="Arial" w:cs="Arial"/>
          <w:sz w:val="20"/>
          <w:szCs w:val="20"/>
        </w:rPr>
      </w:pPr>
      <w:r>
        <w:rPr>
          <w:rFonts w:ascii="Arial" w:hAnsi="Arial" w:cs="Arial"/>
          <w:sz w:val="20"/>
          <w:szCs w:val="20"/>
        </w:rPr>
        <w:t xml:space="preserve">While the low daily sales figure is cause for concern, we are still breaking even. </w:t>
      </w:r>
      <w:r w:rsidR="00BB7BA5">
        <w:rPr>
          <w:rFonts w:ascii="Arial" w:hAnsi="Arial" w:cs="Arial"/>
          <w:sz w:val="20"/>
          <w:szCs w:val="20"/>
        </w:rPr>
        <w:t xml:space="preserve">The daily sales are trending in the right direction for March, increasing to $2,185 from $2,092 in February. </w:t>
      </w:r>
      <w:r>
        <w:rPr>
          <w:rFonts w:ascii="Arial" w:hAnsi="Arial" w:cs="Arial"/>
          <w:sz w:val="20"/>
          <w:szCs w:val="20"/>
        </w:rPr>
        <w:t>There are a number of opportunities which</w:t>
      </w:r>
      <w:r w:rsidR="00BB7BA5">
        <w:rPr>
          <w:rFonts w:ascii="Arial" w:hAnsi="Arial" w:cs="Arial"/>
          <w:sz w:val="20"/>
          <w:szCs w:val="20"/>
        </w:rPr>
        <w:t xml:space="preserve"> will add revenue to the Co-op, including:</w:t>
      </w:r>
    </w:p>
    <w:p w14:paraId="4DCBC24D" w14:textId="77777777" w:rsidR="00BB7BA5" w:rsidRDefault="00BB7BA5" w:rsidP="00BB7BA5">
      <w:pPr>
        <w:pStyle w:val="ListParagraph"/>
        <w:numPr>
          <w:ilvl w:val="0"/>
          <w:numId w:val="7"/>
        </w:numPr>
        <w:rPr>
          <w:rFonts w:ascii="Arial" w:hAnsi="Arial" w:cs="Arial"/>
          <w:sz w:val="20"/>
          <w:szCs w:val="20"/>
        </w:rPr>
      </w:pPr>
      <w:r>
        <w:rPr>
          <w:rFonts w:ascii="Arial" w:hAnsi="Arial" w:cs="Arial"/>
          <w:sz w:val="20"/>
          <w:szCs w:val="20"/>
        </w:rPr>
        <w:t xml:space="preserve">Increased member engagement </w:t>
      </w:r>
    </w:p>
    <w:p w14:paraId="128B5982" w14:textId="2684C023" w:rsidR="00BB7BA5" w:rsidRDefault="00BB7BA5" w:rsidP="00BB7BA5">
      <w:pPr>
        <w:pStyle w:val="ListParagraph"/>
        <w:numPr>
          <w:ilvl w:val="0"/>
          <w:numId w:val="7"/>
        </w:numPr>
        <w:rPr>
          <w:rFonts w:ascii="Arial" w:hAnsi="Arial" w:cs="Arial"/>
          <w:sz w:val="20"/>
          <w:szCs w:val="20"/>
        </w:rPr>
      </w:pPr>
      <w:r>
        <w:rPr>
          <w:rFonts w:ascii="Arial" w:hAnsi="Arial" w:cs="Arial"/>
          <w:sz w:val="20"/>
          <w:szCs w:val="20"/>
        </w:rPr>
        <w:t xml:space="preserve">Grants </w:t>
      </w:r>
    </w:p>
    <w:p w14:paraId="39C80737" w14:textId="520390D7" w:rsidR="00BB7BA5" w:rsidRDefault="00BB7BA5" w:rsidP="00BB7BA5">
      <w:pPr>
        <w:pStyle w:val="ListParagraph"/>
        <w:numPr>
          <w:ilvl w:val="0"/>
          <w:numId w:val="7"/>
        </w:numPr>
        <w:rPr>
          <w:rFonts w:ascii="Arial" w:hAnsi="Arial" w:cs="Arial"/>
          <w:sz w:val="20"/>
          <w:szCs w:val="20"/>
        </w:rPr>
      </w:pPr>
      <w:r>
        <w:rPr>
          <w:rFonts w:ascii="Arial" w:hAnsi="Arial" w:cs="Arial"/>
          <w:sz w:val="20"/>
          <w:szCs w:val="20"/>
        </w:rPr>
        <w:t xml:space="preserve">Workshops and events </w:t>
      </w:r>
    </w:p>
    <w:p w14:paraId="284189F0" w14:textId="4A4717D4" w:rsidR="001E1121" w:rsidRPr="00BB7BA5" w:rsidRDefault="00BB7BA5" w:rsidP="001C0F5C">
      <w:pPr>
        <w:pStyle w:val="ListParagraph"/>
        <w:numPr>
          <w:ilvl w:val="0"/>
          <w:numId w:val="7"/>
        </w:numPr>
        <w:rPr>
          <w:rFonts w:ascii="Arial" w:hAnsi="Arial" w:cs="Arial"/>
          <w:sz w:val="20"/>
          <w:szCs w:val="20"/>
        </w:rPr>
      </w:pPr>
      <w:r w:rsidRPr="00BB7BA5">
        <w:rPr>
          <w:rFonts w:ascii="Arial" w:hAnsi="Arial" w:cs="Arial"/>
          <w:sz w:val="20"/>
          <w:szCs w:val="20"/>
        </w:rPr>
        <w:t>Veggie boxes</w:t>
      </w:r>
    </w:p>
    <w:p w14:paraId="2F6B9AB4" w14:textId="779C5491" w:rsidR="002817CC" w:rsidRPr="002817CC" w:rsidRDefault="002817CC" w:rsidP="002817CC">
      <w:pPr>
        <w:rPr>
          <w:rFonts w:ascii="Arial" w:hAnsi="Arial" w:cs="Arial"/>
          <w:b/>
          <w:bCs/>
          <w:sz w:val="20"/>
          <w:szCs w:val="20"/>
        </w:rPr>
      </w:pPr>
      <w:r w:rsidRPr="002817CC">
        <w:rPr>
          <w:rFonts w:ascii="Arial" w:hAnsi="Arial" w:cs="Arial"/>
          <w:b/>
          <w:bCs/>
          <w:sz w:val="20"/>
          <w:szCs w:val="20"/>
        </w:rPr>
        <w:t xml:space="preserve">Budget for 2021 </w:t>
      </w:r>
    </w:p>
    <w:p w14:paraId="00B68D70" w14:textId="1AF0F787" w:rsidR="00BB7BA5" w:rsidRDefault="00BB7BA5" w:rsidP="003432F2">
      <w:pPr>
        <w:rPr>
          <w:rFonts w:ascii="Arial" w:hAnsi="Arial" w:cs="Arial"/>
          <w:sz w:val="20"/>
          <w:szCs w:val="20"/>
        </w:rPr>
      </w:pPr>
      <w:r>
        <w:rPr>
          <w:rFonts w:ascii="Arial" w:hAnsi="Arial" w:cs="Arial"/>
          <w:sz w:val="20"/>
          <w:szCs w:val="20"/>
        </w:rPr>
        <w:t xml:space="preserve">In light of the above sales figures, I have updated the 2021 budget for the new daily sales trend (budget attached to this report). This is largely for illustration purposes to show that if the daily sales trend continues at $2,185, the Co-op will make a loss of $27,552. If the </w:t>
      </w:r>
      <w:proofErr w:type="gramStart"/>
      <w:r>
        <w:rPr>
          <w:rFonts w:ascii="Arial" w:hAnsi="Arial" w:cs="Arial"/>
          <w:sz w:val="20"/>
          <w:szCs w:val="20"/>
        </w:rPr>
        <w:t>directors</w:t>
      </w:r>
      <w:proofErr w:type="gramEnd"/>
      <w:r>
        <w:rPr>
          <w:rFonts w:ascii="Arial" w:hAnsi="Arial" w:cs="Arial"/>
          <w:sz w:val="20"/>
          <w:szCs w:val="20"/>
        </w:rPr>
        <w:t xml:space="preserve"> loans are stretched into 2022, then the Co-op will break even. </w:t>
      </w:r>
    </w:p>
    <w:p w14:paraId="2954AC98" w14:textId="71DDA384" w:rsidR="00BB7BA5" w:rsidRDefault="00BB7BA5" w:rsidP="003432F2">
      <w:pPr>
        <w:rPr>
          <w:rFonts w:ascii="Arial" w:hAnsi="Arial" w:cs="Arial"/>
          <w:sz w:val="20"/>
          <w:szCs w:val="20"/>
        </w:rPr>
      </w:pPr>
      <w:r>
        <w:rPr>
          <w:rFonts w:ascii="Arial" w:hAnsi="Arial" w:cs="Arial"/>
          <w:sz w:val="20"/>
          <w:szCs w:val="20"/>
        </w:rPr>
        <w:t xml:space="preserve">Readers of this report should keep in mind that the budget is prepared on the basis that the only revenue for the remainder of 2021 is from shop trading. The four revenue opportunities listed above have not been factored in and it is expected that these initiatives will add incremental revenue to the Co-op. </w:t>
      </w:r>
    </w:p>
    <w:p w14:paraId="5ED6F0EB" w14:textId="4F91936E" w:rsidR="00BB7BA5" w:rsidRPr="00BB7BA5" w:rsidRDefault="00BB7BA5" w:rsidP="003432F2">
      <w:pPr>
        <w:rPr>
          <w:rFonts w:ascii="Arial" w:hAnsi="Arial" w:cs="Arial"/>
          <w:b/>
          <w:bCs/>
          <w:sz w:val="20"/>
          <w:szCs w:val="20"/>
        </w:rPr>
      </w:pPr>
      <w:r w:rsidRPr="00BB7BA5">
        <w:rPr>
          <w:rFonts w:ascii="Arial" w:hAnsi="Arial" w:cs="Arial"/>
          <w:b/>
          <w:bCs/>
          <w:sz w:val="20"/>
          <w:szCs w:val="20"/>
        </w:rPr>
        <w:t>Feedback on Rent Proposals</w:t>
      </w:r>
    </w:p>
    <w:p w14:paraId="1ED1B6F5" w14:textId="7BBCAAFE" w:rsidR="00BB7BA5" w:rsidRPr="003432F2" w:rsidRDefault="00BB7BA5" w:rsidP="003432F2">
      <w:pPr>
        <w:rPr>
          <w:rFonts w:ascii="Arial" w:hAnsi="Arial" w:cs="Arial"/>
          <w:sz w:val="20"/>
          <w:szCs w:val="20"/>
        </w:rPr>
      </w:pPr>
      <w:r>
        <w:rPr>
          <w:rFonts w:ascii="Arial" w:hAnsi="Arial" w:cs="Arial"/>
          <w:sz w:val="20"/>
          <w:szCs w:val="20"/>
        </w:rPr>
        <w:t xml:space="preserve">I received a call from Belle Property on 22 March 2021. The landlord is requesting that we make a longer commitment to the new lease. They have asked us to commit for 2-3 years. Given the position of the Co-op I would recommend that we move forward with a 2+2 lease on the same terms as </w:t>
      </w:r>
      <w:r>
        <w:rPr>
          <w:rFonts w:ascii="Arial" w:hAnsi="Arial" w:cs="Arial"/>
          <w:sz w:val="20"/>
          <w:szCs w:val="20"/>
        </w:rPr>
        <w:lastRenderedPageBreak/>
        <w:t xml:space="preserve">previously put forward on the 1+1 lease proposal. To be discussed and confirmed by the MC at the upcoming meeting. </w:t>
      </w:r>
    </w:p>
    <w:sectPr w:rsidR="00BB7BA5" w:rsidRPr="003432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51293"/>
    <w:multiLevelType w:val="hybridMultilevel"/>
    <w:tmpl w:val="A0D6C2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F33444"/>
    <w:multiLevelType w:val="hybridMultilevel"/>
    <w:tmpl w:val="8A7AD3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8D74944"/>
    <w:multiLevelType w:val="hybridMultilevel"/>
    <w:tmpl w:val="EA3216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ECC6B5D"/>
    <w:multiLevelType w:val="hybridMultilevel"/>
    <w:tmpl w:val="17DCC5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40F1B0F"/>
    <w:multiLevelType w:val="hybridMultilevel"/>
    <w:tmpl w:val="9BA6CE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1072740"/>
    <w:multiLevelType w:val="hybridMultilevel"/>
    <w:tmpl w:val="E7043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9225CC"/>
    <w:multiLevelType w:val="hybridMultilevel"/>
    <w:tmpl w:val="996432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878"/>
    <w:rsid w:val="00192878"/>
    <w:rsid w:val="001E1121"/>
    <w:rsid w:val="00242F35"/>
    <w:rsid w:val="002817CC"/>
    <w:rsid w:val="0028534C"/>
    <w:rsid w:val="003266E3"/>
    <w:rsid w:val="003432F2"/>
    <w:rsid w:val="0040137C"/>
    <w:rsid w:val="006918EF"/>
    <w:rsid w:val="00721E84"/>
    <w:rsid w:val="00856FE5"/>
    <w:rsid w:val="00944002"/>
    <w:rsid w:val="009F51A9"/>
    <w:rsid w:val="00A31DFF"/>
    <w:rsid w:val="00B71105"/>
    <w:rsid w:val="00B83224"/>
    <w:rsid w:val="00BB7BA5"/>
    <w:rsid w:val="00C04DD0"/>
    <w:rsid w:val="00C14E13"/>
    <w:rsid w:val="00D574D9"/>
    <w:rsid w:val="00E7440F"/>
    <w:rsid w:val="00F32F16"/>
    <w:rsid w:val="00FB3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2CCFC"/>
  <w15:chartTrackingRefBased/>
  <w15:docId w15:val="{CD39904A-EEAD-4F9E-B165-0A7C111A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99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emf"/><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atha\OneDrive\Documents\Alfalfa%20House\Shop%20Sales%201%20Jan%20-%2022%20March%20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Alfalfa House</a:t>
            </a:r>
            <a:r>
              <a:rPr lang="en-AU" baseline="0"/>
              <a:t> - Daily Sales ($)</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numRef>
              <c:f>Sheet2!$A$30:$A$79</c:f>
              <c:numCache>
                <c:formatCode>m/d/yyyy</c:formatCode>
                <c:ptCount val="50"/>
                <c:pt idx="0">
                  <c:v>44228</c:v>
                </c:pt>
                <c:pt idx="1">
                  <c:v>44229</c:v>
                </c:pt>
                <c:pt idx="2">
                  <c:v>44230</c:v>
                </c:pt>
                <c:pt idx="3">
                  <c:v>44231</c:v>
                </c:pt>
                <c:pt idx="4">
                  <c:v>44232</c:v>
                </c:pt>
                <c:pt idx="5">
                  <c:v>44233</c:v>
                </c:pt>
                <c:pt idx="6">
                  <c:v>44234</c:v>
                </c:pt>
                <c:pt idx="7">
                  <c:v>44235</c:v>
                </c:pt>
                <c:pt idx="8">
                  <c:v>44236</c:v>
                </c:pt>
                <c:pt idx="9">
                  <c:v>44237</c:v>
                </c:pt>
                <c:pt idx="10">
                  <c:v>44238</c:v>
                </c:pt>
                <c:pt idx="11">
                  <c:v>44239</c:v>
                </c:pt>
                <c:pt idx="12">
                  <c:v>44240</c:v>
                </c:pt>
                <c:pt idx="13">
                  <c:v>44241</c:v>
                </c:pt>
                <c:pt idx="14">
                  <c:v>44242</c:v>
                </c:pt>
                <c:pt idx="15">
                  <c:v>44243</c:v>
                </c:pt>
                <c:pt idx="16">
                  <c:v>44244</c:v>
                </c:pt>
                <c:pt idx="17">
                  <c:v>44245</c:v>
                </c:pt>
                <c:pt idx="18">
                  <c:v>44246</c:v>
                </c:pt>
                <c:pt idx="19">
                  <c:v>44247</c:v>
                </c:pt>
                <c:pt idx="20">
                  <c:v>44248</c:v>
                </c:pt>
                <c:pt idx="21">
                  <c:v>44249</c:v>
                </c:pt>
                <c:pt idx="22">
                  <c:v>44250</c:v>
                </c:pt>
                <c:pt idx="23">
                  <c:v>44251</c:v>
                </c:pt>
                <c:pt idx="24">
                  <c:v>44252</c:v>
                </c:pt>
                <c:pt idx="25">
                  <c:v>44253</c:v>
                </c:pt>
                <c:pt idx="26">
                  <c:v>44254</c:v>
                </c:pt>
                <c:pt idx="27">
                  <c:v>44255</c:v>
                </c:pt>
                <c:pt idx="28">
                  <c:v>44256</c:v>
                </c:pt>
                <c:pt idx="29">
                  <c:v>44257</c:v>
                </c:pt>
                <c:pt idx="30">
                  <c:v>44258</c:v>
                </c:pt>
                <c:pt idx="31">
                  <c:v>44259</c:v>
                </c:pt>
                <c:pt idx="32">
                  <c:v>44260</c:v>
                </c:pt>
                <c:pt idx="33">
                  <c:v>44261</c:v>
                </c:pt>
                <c:pt idx="34">
                  <c:v>44262</c:v>
                </c:pt>
                <c:pt idx="35">
                  <c:v>44263</c:v>
                </c:pt>
                <c:pt idx="36">
                  <c:v>44264</c:v>
                </c:pt>
                <c:pt idx="37">
                  <c:v>44265</c:v>
                </c:pt>
                <c:pt idx="38">
                  <c:v>44266</c:v>
                </c:pt>
                <c:pt idx="39">
                  <c:v>44267</c:v>
                </c:pt>
                <c:pt idx="40">
                  <c:v>44268</c:v>
                </c:pt>
                <c:pt idx="41">
                  <c:v>44269</c:v>
                </c:pt>
                <c:pt idx="42">
                  <c:v>44270</c:v>
                </c:pt>
                <c:pt idx="43">
                  <c:v>44271</c:v>
                </c:pt>
                <c:pt idx="44">
                  <c:v>44272</c:v>
                </c:pt>
                <c:pt idx="45">
                  <c:v>44273</c:v>
                </c:pt>
                <c:pt idx="46">
                  <c:v>44274</c:v>
                </c:pt>
                <c:pt idx="47">
                  <c:v>44275</c:v>
                </c:pt>
                <c:pt idx="48">
                  <c:v>44276</c:v>
                </c:pt>
                <c:pt idx="49">
                  <c:v>44277</c:v>
                </c:pt>
              </c:numCache>
            </c:numRef>
          </c:cat>
          <c:val>
            <c:numRef>
              <c:f>Sheet2!$B$30:$B$79</c:f>
              <c:numCache>
                <c:formatCode>#,##0.00</c:formatCode>
                <c:ptCount val="50"/>
                <c:pt idx="0">
                  <c:v>2539.56</c:v>
                </c:pt>
                <c:pt idx="1">
                  <c:v>2668.33</c:v>
                </c:pt>
                <c:pt idx="2">
                  <c:v>1538.52</c:v>
                </c:pt>
                <c:pt idx="3">
                  <c:v>2779.96</c:v>
                </c:pt>
                <c:pt idx="4">
                  <c:v>2859.01</c:v>
                </c:pt>
                <c:pt idx="5">
                  <c:v>3600.44</c:v>
                </c:pt>
                <c:pt idx="6">
                  <c:v>1533.83</c:v>
                </c:pt>
                <c:pt idx="7">
                  <c:v>2050.15</c:v>
                </c:pt>
                <c:pt idx="8">
                  <c:v>1945.93</c:v>
                </c:pt>
                <c:pt idx="9">
                  <c:v>1666.03</c:v>
                </c:pt>
                <c:pt idx="10">
                  <c:v>2183.94</c:v>
                </c:pt>
                <c:pt idx="11">
                  <c:v>2430.1799999999998</c:v>
                </c:pt>
                <c:pt idx="12">
                  <c:v>3683</c:v>
                </c:pt>
                <c:pt idx="13">
                  <c:v>1619.99</c:v>
                </c:pt>
                <c:pt idx="14">
                  <c:v>2399.38</c:v>
                </c:pt>
                <c:pt idx="15">
                  <c:v>1619.31</c:v>
                </c:pt>
                <c:pt idx="16">
                  <c:v>1854.39</c:v>
                </c:pt>
                <c:pt idx="17">
                  <c:v>1484.54</c:v>
                </c:pt>
                <c:pt idx="18">
                  <c:v>3111.99</c:v>
                </c:pt>
                <c:pt idx="19">
                  <c:v>2340.8200000000002</c:v>
                </c:pt>
                <c:pt idx="20">
                  <c:v>2053.58</c:v>
                </c:pt>
                <c:pt idx="21">
                  <c:v>2010.92</c:v>
                </c:pt>
                <c:pt idx="22">
                  <c:v>2696.61</c:v>
                </c:pt>
                <c:pt idx="23">
                  <c:v>2094.06</c:v>
                </c:pt>
                <c:pt idx="24">
                  <c:v>1467.5</c:v>
                </c:pt>
                <c:pt idx="25">
                  <c:v>2690.76</c:v>
                </c:pt>
                <c:pt idx="26">
                  <c:v>3415.39</c:v>
                </c:pt>
                <c:pt idx="27">
                  <c:v>1870.89</c:v>
                </c:pt>
                <c:pt idx="28">
                  <c:v>1742.46</c:v>
                </c:pt>
                <c:pt idx="29">
                  <c:v>1581.34</c:v>
                </c:pt>
                <c:pt idx="30">
                  <c:v>2145.17</c:v>
                </c:pt>
                <c:pt idx="31">
                  <c:v>1934.13</c:v>
                </c:pt>
                <c:pt idx="32">
                  <c:v>2717.97</c:v>
                </c:pt>
                <c:pt idx="33">
                  <c:v>3086.33</c:v>
                </c:pt>
                <c:pt idx="34">
                  <c:v>2652.67</c:v>
                </c:pt>
                <c:pt idx="35">
                  <c:v>2061.44</c:v>
                </c:pt>
                <c:pt idx="36">
                  <c:v>1558.47</c:v>
                </c:pt>
                <c:pt idx="37">
                  <c:v>2215.61</c:v>
                </c:pt>
                <c:pt idx="38">
                  <c:v>2204.81</c:v>
                </c:pt>
                <c:pt idx="39">
                  <c:v>2746.61</c:v>
                </c:pt>
                <c:pt idx="40">
                  <c:v>2778.35</c:v>
                </c:pt>
                <c:pt idx="41">
                  <c:v>2657.26</c:v>
                </c:pt>
                <c:pt idx="42">
                  <c:v>2461.4899999999998</c:v>
                </c:pt>
                <c:pt idx="43">
                  <c:v>2052.27</c:v>
                </c:pt>
                <c:pt idx="44">
                  <c:v>1612.67</c:v>
                </c:pt>
                <c:pt idx="45">
                  <c:v>1619.9</c:v>
                </c:pt>
                <c:pt idx="46">
                  <c:v>2211.08</c:v>
                </c:pt>
                <c:pt idx="47">
                  <c:v>2624.47</c:v>
                </c:pt>
                <c:pt idx="48">
                  <c:v>1804.34</c:v>
                </c:pt>
                <c:pt idx="49">
                  <c:v>1600.96</c:v>
                </c:pt>
              </c:numCache>
            </c:numRef>
          </c:val>
          <c:smooth val="0"/>
          <c:extLst>
            <c:ext xmlns:c16="http://schemas.microsoft.com/office/drawing/2014/chart" uri="{C3380CC4-5D6E-409C-BE32-E72D297353CC}">
              <c16:uniqueId val="{00000000-A5CE-4883-A15A-BF37C9F24355}"/>
            </c:ext>
          </c:extLst>
        </c:ser>
        <c:dLbls>
          <c:showLegendKey val="0"/>
          <c:showVal val="0"/>
          <c:showCatName val="0"/>
          <c:showSerName val="0"/>
          <c:showPercent val="0"/>
          <c:showBubbleSize val="0"/>
        </c:dLbls>
        <c:smooth val="0"/>
        <c:axId val="755364944"/>
        <c:axId val="755368552"/>
      </c:lineChart>
      <c:dateAx>
        <c:axId val="755364944"/>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5368552"/>
        <c:crosses val="autoZero"/>
        <c:auto val="1"/>
        <c:lblOffset val="100"/>
        <c:baseTimeUnit val="days"/>
      </c:dateAx>
      <c:valAx>
        <c:axId val="755368552"/>
        <c:scaling>
          <c:orientation val="minMax"/>
          <c:max val="600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5364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8206</TotalTime>
  <Pages>3</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Whittingham</dc:creator>
  <cp:keywords/>
  <dc:description/>
  <cp:lastModifiedBy>Nathan Whittingham</cp:lastModifiedBy>
  <cp:revision>9</cp:revision>
  <dcterms:created xsi:type="dcterms:W3CDTF">2021-01-20T04:42:00Z</dcterms:created>
  <dcterms:modified xsi:type="dcterms:W3CDTF">2021-03-23T05:14:00Z</dcterms:modified>
</cp:coreProperties>
</file>