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2DAD" w14:textId="09B73493" w:rsidR="00FD1B7C" w:rsidRPr="00242F35" w:rsidRDefault="00192878">
      <w:pPr>
        <w:rPr>
          <w:rFonts w:ascii="Arial" w:hAnsi="Arial" w:cs="Arial"/>
          <w:b/>
          <w:bCs/>
          <w:sz w:val="20"/>
          <w:szCs w:val="20"/>
        </w:rPr>
      </w:pPr>
      <w:r w:rsidRPr="00242F35">
        <w:rPr>
          <w:rFonts w:ascii="Arial" w:hAnsi="Arial" w:cs="Arial"/>
          <w:b/>
          <w:bCs/>
          <w:sz w:val="20"/>
          <w:szCs w:val="20"/>
        </w:rPr>
        <w:t xml:space="preserve">Treasurer’s Report – Members Committee Meeting </w:t>
      </w:r>
      <w:r w:rsidR="002817CC">
        <w:rPr>
          <w:rFonts w:ascii="Arial" w:hAnsi="Arial" w:cs="Arial"/>
          <w:b/>
          <w:bCs/>
          <w:sz w:val="20"/>
          <w:szCs w:val="20"/>
        </w:rPr>
        <w:t>10 February</w:t>
      </w:r>
      <w:r w:rsidRPr="00242F35">
        <w:rPr>
          <w:rFonts w:ascii="Arial" w:hAnsi="Arial" w:cs="Arial"/>
          <w:b/>
          <w:bCs/>
          <w:sz w:val="20"/>
          <w:szCs w:val="20"/>
        </w:rPr>
        <w:t xml:space="preserve"> 2021</w:t>
      </w:r>
    </w:p>
    <w:p w14:paraId="32D66A12" w14:textId="66B00E14" w:rsidR="00192878" w:rsidRPr="003432F2" w:rsidRDefault="00192878">
      <w:pPr>
        <w:rPr>
          <w:rFonts w:ascii="Arial" w:hAnsi="Arial" w:cs="Arial"/>
          <w:sz w:val="20"/>
          <w:szCs w:val="20"/>
        </w:rPr>
      </w:pPr>
    </w:p>
    <w:p w14:paraId="0B18F16E" w14:textId="798DF615" w:rsidR="00192878" w:rsidRPr="003432F2" w:rsidRDefault="00192878">
      <w:pPr>
        <w:rPr>
          <w:rFonts w:ascii="Arial" w:hAnsi="Arial" w:cs="Arial"/>
          <w:b/>
          <w:bCs/>
          <w:sz w:val="20"/>
          <w:szCs w:val="20"/>
        </w:rPr>
      </w:pPr>
      <w:r w:rsidRPr="003432F2">
        <w:rPr>
          <w:rFonts w:ascii="Arial" w:hAnsi="Arial" w:cs="Arial"/>
          <w:b/>
          <w:bCs/>
          <w:sz w:val="20"/>
          <w:szCs w:val="20"/>
        </w:rPr>
        <w:t xml:space="preserve">January Trading Update </w:t>
      </w:r>
    </w:p>
    <w:p w14:paraId="48F098DC" w14:textId="5E52563A" w:rsidR="002817CC" w:rsidRDefault="00192878">
      <w:pPr>
        <w:rPr>
          <w:rFonts w:ascii="Arial" w:hAnsi="Arial" w:cs="Arial"/>
          <w:sz w:val="20"/>
          <w:szCs w:val="20"/>
        </w:rPr>
      </w:pPr>
      <w:r w:rsidRPr="003432F2">
        <w:rPr>
          <w:rFonts w:ascii="Arial" w:hAnsi="Arial" w:cs="Arial"/>
          <w:sz w:val="20"/>
          <w:szCs w:val="20"/>
        </w:rPr>
        <w:t xml:space="preserve">Trading throughout January </w:t>
      </w:r>
      <w:r w:rsidR="002817CC">
        <w:rPr>
          <w:rFonts w:ascii="Arial" w:hAnsi="Arial" w:cs="Arial"/>
          <w:sz w:val="20"/>
          <w:szCs w:val="20"/>
        </w:rPr>
        <w:t>was much</w:t>
      </w:r>
      <w:r w:rsidRPr="003432F2">
        <w:rPr>
          <w:rFonts w:ascii="Arial" w:hAnsi="Arial" w:cs="Arial"/>
          <w:sz w:val="20"/>
          <w:szCs w:val="20"/>
        </w:rPr>
        <w:t xml:space="preserve"> improved. </w:t>
      </w:r>
      <w:r w:rsidR="002817CC">
        <w:rPr>
          <w:rFonts w:ascii="Arial" w:hAnsi="Arial" w:cs="Arial"/>
          <w:sz w:val="20"/>
          <w:szCs w:val="20"/>
        </w:rPr>
        <w:t>The table below sets out a summary Profit and Loss for January 2021 as compared to December 2020:</w:t>
      </w:r>
    </w:p>
    <w:p w14:paraId="17C2C8B0" w14:textId="2699C4B5" w:rsidR="002817CC" w:rsidRDefault="002817CC">
      <w:pPr>
        <w:rPr>
          <w:rFonts w:ascii="Arial" w:hAnsi="Arial" w:cs="Arial"/>
          <w:sz w:val="20"/>
          <w:szCs w:val="20"/>
        </w:rPr>
      </w:pPr>
    </w:p>
    <w:tbl>
      <w:tblPr>
        <w:tblW w:w="6901" w:type="dxa"/>
        <w:tblLook w:val="04A0" w:firstRow="1" w:lastRow="0" w:firstColumn="1" w:lastColumn="0" w:noHBand="0" w:noVBand="1"/>
      </w:tblPr>
      <w:tblGrid>
        <w:gridCol w:w="2941"/>
        <w:gridCol w:w="1370"/>
        <w:gridCol w:w="1370"/>
        <w:gridCol w:w="1220"/>
      </w:tblGrid>
      <w:tr w:rsidR="002817CC" w:rsidRPr="002817CC" w14:paraId="75FD99CC" w14:textId="77777777" w:rsidTr="002817CC">
        <w:trPr>
          <w:trHeight w:val="260"/>
        </w:trPr>
        <w:tc>
          <w:tcPr>
            <w:tcW w:w="5681" w:type="dxa"/>
            <w:gridSpan w:val="3"/>
            <w:tcBorders>
              <w:top w:val="nil"/>
              <w:left w:val="nil"/>
              <w:bottom w:val="nil"/>
              <w:right w:val="nil"/>
            </w:tcBorders>
            <w:shd w:val="clear" w:color="auto" w:fill="auto"/>
            <w:noWrap/>
            <w:vAlign w:val="center"/>
            <w:hideMark/>
          </w:tcPr>
          <w:p w14:paraId="34AAC779"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Alfalfa House P&amp;L Snapshot (Jan 21 vs Dec 20)</w:t>
            </w:r>
          </w:p>
        </w:tc>
        <w:tc>
          <w:tcPr>
            <w:tcW w:w="1220" w:type="dxa"/>
            <w:tcBorders>
              <w:top w:val="nil"/>
              <w:left w:val="nil"/>
              <w:bottom w:val="nil"/>
              <w:right w:val="nil"/>
            </w:tcBorders>
            <w:shd w:val="clear" w:color="auto" w:fill="auto"/>
            <w:noWrap/>
            <w:vAlign w:val="center"/>
            <w:hideMark/>
          </w:tcPr>
          <w:p w14:paraId="16B34227" w14:textId="77777777" w:rsidR="002817CC" w:rsidRPr="002817CC" w:rsidRDefault="002817CC" w:rsidP="002817CC">
            <w:pPr>
              <w:spacing w:after="0" w:line="240" w:lineRule="auto"/>
              <w:rPr>
                <w:rFonts w:ascii="Arial" w:eastAsia="Times New Roman" w:hAnsi="Arial" w:cs="Arial"/>
                <w:b/>
                <w:bCs/>
                <w:sz w:val="20"/>
                <w:szCs w:val="20"/>
                <w:lang w:eastAsia="en-AU"/>
              </w:rPr>
            </w:pPr>
          </w:p>
        </w:tc>
      </w:tr>
      <w:tr w:rsidR="002817CC" w:rsidRPr="002817CC" w14:paraId="1922388A" w14:textId="77777777" w:rsidTr="002817CC">
        <w:trPr>
          <w:trHeight w:val="250"/>
        </w:trPr>
        <w:tc>
          <w:tcPr>
            <w:tcW w:w="2941" w:type="dxa"/>
            <w:tcBorders>
              <w:top w:val="nil"/>
              <w:left w:val="nil"/>
              <w:bottom w:val="nil"/>
              <w:right w:val="nil"/>
            </w:tcBorders>
            <w:shd w:val="clear" w:color="auto" w:fill="auto"/>
            <w:noWrap/>
            <w:vAlign w:val="center"/>
            <w:hideMark/>
          </w:tcPr>
          <w:p w14:paraId="1D0219D4" w14:textId="77777777" w:rsidR="002817CC" w:rsidRPr="002817CC" w:rsidRDefault="002817CC" w:rsidP="002817CC">
            <w:pPr>
              <w:spacing w:after="0" w:line="240" w:lineRule="auto"/>
              <w:jc w:val="center"/>
              <w:rPr>
                <w:rFonts w:ascii="Times New Roman" w:eastAsia="Times New Roman" w:hAnsi="Times New Roman" w:cs="Times New Roman"/>
                <w:sz w:val="20"/>
                <w:szCs w:val="20"/>
                <w:lang w:eastAsia="en-AU"/>
              </w:rPr>
            </w:pPr>
          </w:p>
        </w:tc>
        <w:tc>
          <w:tcPr>
            <w:tcW w:w="1370" w:type="dxa"/>
            <w:tcBorders>
              <w:top w:val="nil"/>
              <w:left w:val="nil"/>
              <w:bottom w:val="nil"/>
              <w:right w:val="nil"/>
            </w:tcBorders>
            <w:shd w:val="clear" w:color="auto" w:fill="auto"/>
            <w:noWrap/>
            <w:vAlign w:val="center"/>
            <w:hideMark/>
          </w:tcPr>
          <w:p w14:paraId="74A59116"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370" w:type="dxa"/>
            <w:tcBorders>
              <w:top w:val="nil"/>
              <w:left w:val="nil"/>
              <w:bottom w:val="nil"/>
              <w:right w:val="nil"/>
            </w:tcBorders>
            <w:shd w:val="clear" w:color="auto" w:fill="auto"/>
            <w:noWrap/>
            <w:vAlign w:val="center"/>
            <w:hideMark/>
          </w:tcPr>
          <w:p w14:paraId="0EBBE63E"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220" w:type="dxa"/>
            <w:tcBorders>
              <w:top w:val="nil"/>
              <w:left w:val="nil"/>
              <w:bottom w:val="nil"/>
              <w:right w:val="nil"/>
            </w:tcBorders>
            <w:shd w:val="clear" w:color="auto" w:fill="auto"/>
            <w:noWrap/>
            <w:vAlign w:val="center"/>
            <w:hideMark/>
          </w:tcPr>
          <w:p w14:paraId="597C85B4"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r>
      <w:tr w:rsidR="002817CC" w:rsidRPr="002817CC" w14:paraId="73EDA745" w14:textId="77777777" w:rsidTr="002817CC">
        <w:trPr>
          <w:trHeight w:val="260"/>
        </w:trPr>
        <w:tc>
          <w:tcPr>
            <w:tcW w:w="2941" w:type="dxa"/>
            <w:tcBorders>
              <w:top w:val="nil"/>
              <w:left w:val="nil"/>
              <w:bottom w:val="nil"/>
              <w:right w:val="nil"/>
            </w:tcBorders>
            <w:shd w:val="clear" w:color="000000" w:fill="000000"/>
            <w:noWrap/>
            <w:vAlign w:val="center"/>
            <w:hideMark/>
          </w:tcPr>
          <w:p w14:paraId="50DFBA0F" w14:textId="77777777" w:rsidR="002817CC" w:rsidRPr="002817CC" w:rsidRDefault="002817CC" w:rsidP="002817CC">
            <w:pPr>
              <w:spacing w:after="0" w:line="240" w:lineRule="auto"/>
              <w:rPr>
                <w:rFonts w:ascii="Arial" w:eastAsia="Times New Roman" w:hAnsi="Arial" w:cs="Arial"/>
                <w:b/>
                <w:bCs/>
                <w:color w:val="FFFFFF"/>
                <w:sz w:val="20"/>
                <w:szCs w:val="20"/>
                <w:lang w:eastAsia="en-AU"/>
              </w:rPr>
            </w:pPr>
            <w:r w:rsidRPr="002817CC">
              <w:rPr>
                <w:rFonts w:ascii="Arial" w:eastAsia="Times New Roman" w:hAnsi="Arial" w:cs="Arial"/>
                <w:b/>
                <w:bCs/>
                <w:color w:val="FFFFFF"/>
                <w:sz w:val="20"/>
                <w:szCs w:val="20"/>
                <w:lang w:eastAsia="en-AU"/>
              </w:rPr>
              <w:t> </w:t>
            </w:r>
          </w:p>
        </w:tc>
        <w:tc>
          <w:tcPr>
            <w:tcW w:w="1370" w:type="dxa"/>
            <w:tcBorders>
              <w:top w:val="nil"/>
              <w:left w:val="nil"/>
              <w:bottom w:val="nil"/>
              <w:right w:val="nil"/>
            </w:tcBorders>
            <w:shd w:val="clear" w:color="000000" w:fill="000000"/>
            <w:vAlign w:val="center"/>
            <w:hideMark/>
          </w:tcPr>
          <w:p w14:paraId="31F1A692" w14:textId="77777777" w:rsidR="002817CC" w:rsidRPr="002817CC" w:rsidRDefault="002817CC" w:rsidP="002817CC">
            <w:pPr>
              <w:spacing w:after="0" w:line="240" w:lineRule="auto"/>
              <w:jc w:val="right"/>
              <w:rPr>
                <w:rFonts w:ascii="Arial" w:eastAsia="Times New Roman" w:hAnsi="Arial" w:cs="Arial"/>
                <w:b/>
                <w:bCs/>
                <w:color w:val="FFFFFF"/>
                <w:sz w:val="20"/>
                <w:szCs w:val="20"/>
                <w:lang w:eastAsia="en-AU"/>
              </w:rPr>
            </w:pPr>
            <w:r w:rsidRPr="002817CC">
              <w:rPr>
                <w:rFonts w:ascii="Arial" w:eastAsia="Times New Roman" w:hAnsi="Arial" w:cs="Arial"/>
                <w:b/>
                <w:bCs/>
                <w:color w:val="FFFFFF"/>
                <w:sz w:val="20"/>
                <w:szCs w:val="20"/>
                <w:lang w:eastAsia="en-AU"/>
              </w:rPr>
              <w:t>Jan-21</w:t>
            </w:r>
          </w:p>
        </w:tc>
        <w:tc>
          <w:tcPr>
            <w:tcW w:w="1370" w:type="dxa"/>
            <w:tcBorders>
              <w:top w:val="nil"/>
              <w:left w:val="nil"/>
              <w:bottom w:val="nil"/>
              <w:right w:val="nil"/>
            </w:tcBorders>
            <w:shd w:val="clear" w:color="000000" w:fill="000000"/>
            <w:vAlign w:val="center"/>
            <w:hideMark/>
          </w:tcPr>
          <w:p w14:paraId="1E8FEFB4" w14:textId="77777777" w:rsidR="002817CC" w:rsidRPr="002817CC" w:rsidRDefault="002817CC" w:rsidP="002817CC">
            <w:pPr>
              <w:spacing w:after="0" w:line="240" w:lineRule="auto"/>
              <w:jc w:val="right"/>
              <w:rPr>
                <w:rFonts w:ascii="Arial" w:eastAsia="Times New Roman" w:hAnsi="Arial" w:cs="Arial"/>
                <w:b/>
                <w:bCs/>
                <w:color w:val="FFFFFF"/>
                <w:sz w:val="20"/>
                <w:szCs w:val="20"/>
                <w:lang w:eastAsia="en-AU"/>
              </w:rPr>
            </w:pPr>
            <w:r w:rsidRPr="002817CC">
              <w:rPr>
                <w:rFonts w:ascii="Arial" w:eastAsia="Times New Roman" w:hAnsi="Arial" w:cs="Arial"/>
                <w:b/>
                <w:bCs/>
                <w:color w:val="FFFFFF"/>
                <w:sz w:val="20"/>
                <w:szCs w:val="20"/>
                <w:lang w:eastAsia="en-AU"/>
              </w:rPr>
              <w:t>Dec-20</w:t>
            </w:r>
          </w:p>
        </w:tc>
        <w:tc>
          <w:tcPr>
            <w:tcW w:w="1220" w:type="dxa"/>
            <w:tcBorders>
              <w:top w:val="nil"/>
              <w:left w:val="nil"/>
              <w:bottom w:val="nil"/>
              <w:right w:val="nil"/>
            </w:tcBorders>
            <w:shd w:val="clear" w:color="000000" w:fill="000000"/>
            <w:noWrap/>
            <w:vAlign w:val="center"/>
            <w:hideMark/>
          </w:tcPr>
          <w:p w14:paraId="12EB9CDE" w14:textId="77777777" w:rsidR="002817CC" w:rsidRPr="002817CC" w:rsidRDefault="002817CC" w:rsidP="002817CC">
            <w:pPr>
              <w:spacing w:after="0" w:line="240" w:lineRule="auto"/>
              <w:jc w:val="center"/>
              <w:rPr>
                <w:rFonts w:ascii="Arial" w:eastAsia="Times New Roman" w:hAnsi="Arial" w:cs="Arial"/>
                <w:b/>
                <w:bCs/>
                <w:color w:val="FFFFFF"/>
                <w:sz w:val="20"/>
                <w:szCs w:val="20"/>
                <w:lang w:eastAsia="en-AU"/>
              </w:rPr>
            </w:pPr>
            <w:r w:rsidRPr="002817CC">
              <w:rPr>
                <w:rFonts w:ascii="Arial" w:eastAsia="Times New Roman" w:hAnsi="Arial" w:cs="Arial"/>
                <w:b/>
                <w:bCs/>
                <w:color w:val="FFFFFF"/>
                <w:sz w:val="20"/>
                <w:szCs w:val="20"/>
                <w:lang w:eastAsia="en-AU"/>
              </w:rPr>
              <w:t>Variance</w:t>
            </w:r>
          </w:p>
        </w:tc>
      </w:tr>
      <w:tr w:rsidR="002817CC" w:rsidRPr="002817CC" w14:paraId="31B4AA76" w14:textId="77777777" w:rsidTr="002817CC">
        <w:trPr>
          <w:trHeight w:val="250"/>
        </w:trPr>
        <w:tc>
          <w:tcPr>
            <w:tcW w:w="2941" w:type="dxa"/>
            <w:tcBorders>
              <w:top w:val="nil"/>
              <w:left w:val="nil"/>
              <w:bottom w:val="nil"/>
              <w:right w:val="nil"/>
            </w:tcBorders>
            <w:shd w:val="clear" w:color="auto" w:fill="auto"/>
            <w:noWrap/>
            <w:vAlign w:val="center"/>
            <w:hideMark/>
          </w:tcPr>
          <w:p w14:paraId="7F36EBDD"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Income </w:t>
            </w:r>
          </w:p>
        </w:tc>
        <w:tc>
          <w:tcPr>
            <w:tcW w:w="1370" w:type="dxa"/>
            <w:tcBorders>
              <w:top w:val="nil"/>
              <w:left w:val="nil"/>
              <w:bottom w:val="nil"/>
              <w:right w:val="nil"/>
            </w:tcBorders>
            <w:shd w:val="clear" w:color="auto" w:fill="auto"/>
            <w:noWrap/>
            <w:vAlign w:val="center"/>
            <w:hideMark/>
          </w:tcPr>
          <w:p w14:paraId="79036967" w14:textId="77777777" w:rsidR="002817CC" w:rsidRPr="002817CC" w:rsidRDefault="002817CC" w:rsidP="002817CC">
            <w:pPr>
              <w:spacing w:after="0" w:line="240" w:lineRule="auto"/>
              <w:rPr>
                <w:rFonts w:ascii="Arial" w:eastAsia="Times New Roman" w:hAnsi="Arial" w:cs="Arial"/>
                <w:sz w:val="20"/>
                <w:szCs w:val="20"/>
                <w:lang w:eastAsia="en-AU"/>
              </w:rPr>
            </w:pPr>
          </w:p>
        </w:tc>
        <w:tc>
          <w:tcPr>
            <w:tcW w:w="1370" w:type="dxa"/>
            <w:tcBorders>
              <w:top w:val="nil"/>
              <w:left w:val="nil"/>
              <w:bottom w:val="nil"/>
              <w:right w:val="nil"/>
            </w:tcBorders>
            <w:shd w:val="clear" w:color="auto" w:fill="auto"/>
            <w:noWrap/>
            <w:vAlign w:val="center"/>
            <w:hideMark/>
          </w:tcPr>
          <w:p w14:paraId="12EF98D2"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220" w:type="dxa"/>
            <w:tcBorders>
              <w:top w:val="nil"/>
              <w:left w:val="nil"/>
              <w:bottom w:val="nil"/>
              <w:right w:val="nil"/>
            </w:tcBorders>
            <w:shd w:val="clear" w:color="auto" w:fill="auto"/>
            <w:noWrap/>
            <w:vAlign w:val="center"/>
            <w:hideMark/>
          </w:tcPr>
          <w:p w14:paraId="0CC66245"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r>
      <w:tr w:rsidR="002817CC" w:rsidRPr="002817CC" w14:paraId="0377034D" w14:textId="77777777" w:rsidTr="002817CC">
        <w:trPr>
          <w:trHeight w:val="250"/>
        </w:trPr>
        <w:tc>
          <w:tcPr>
            <w:tcW w:w="2941" w:type="dxa"/>
            <w:tcBorders>
              <w:top w:val="nil"/>
              <w:left w:val="nil"/>
              <w:bottom w:val="nil"/>
              <w:right w:val="nil"/>
            </w:tcBorders>
            <w:shd w:val="clear" w:color="auto" w:fill="auto"/>
            <w:noWrap/>
            <w:vAlign w:val="center"/>
            <w:hideMark/>
          </w:tcPr>
          <w:p w14:paraId="7AFC4FF3"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Shop Trading </w:t>
            </w:r>
          </w:p>
        </w:tc>
        <w:tc>
          <w:tcPr>
            <w:tcW w:w="1370" w:type="dxa"/>
            <w:tcBorders>
              <w:top w:val="nil"/>
              <w:left w:val="nil"/>
              <w:bottom w:val="nil"/>
              <w:right w:val="nil"/>
            </w:tcBorders>
            <w:shd w:val="clear" w:color="auto" w:fill="auto"/>
            <w:noWrap/>
            <w:vAlign w:val="center"/>
            <w:hideMark/>
          </w:tcPr>
          <w:p w14:paraId="3C940A60"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79,745 </w:t>
            </w:r>
          </w:p>
        </w:tc>
        <w:tc>
          <w:tcPr>
            <w:tcW w:w="1370" w:type="dxa"/>
            <w:tcBorders>
              <w:top w:val="nil"/>
              <w:left w:val="nil"/>
              <w:bottom w:val="nil"/>
              <w:right w:val="nil"/>
            </w:tcBorders>
            <w:shd w:val="clear" w:color="auto" w:fill="auto"/>
            <w:noWrap/>
            <w:vAlign w:val="center"/>
            <w:hideMark/>
          </w:tcPr>
          <w:p w14:paraId="165ECA56"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84,130 </w:t>
            </w:r>
          </w:p>
        </w:tc>
        <w:tc>
          <w:tcPr>
            <w:tcW w:w="1220" w:type="dxa"/>
            <w:tcBorders>
              <w:top w:val="nil"/>
              <w:left w:val="nil"/>
              <w:bottom w:val="nil"/>
              <w:right w:val="nil"/>
            </w:tcBorders>
            <w:shd w:val="clear" w:color="000000" w:fill="BFBFBF"/>
            <w:noWrap/>
            <w:vAlign w:val="center"/>
            <w:hideMark/>
          </w:tcPr>
          <w:p w14:paraId="4D850754"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-5%</w:t>
            </w:r>
          </w:p>
        </w:tc>
      </w:tr>
      <w:tr w:rsidR="002817CC" w:rsidRPr="002817CC" w14:paraId="604B3055" w14:textId="77777777" w:rsidTr="002817CC">
        <w:trPr>
          <w:trHeight w:val="250"/>
        </w:trPr>
        <w:tc>
          <w:tcPr>
            <w:tcW w:w="2941" w:type="dxa"/>
            <w:tcBorders>
              <w:top w:val="nil"/>
              <w:left w:val="nil"/>
              <w:bottom w:val="nil"/>
              <w:right w:val="nil"/>
            </w:tcBorders>
            <w:shd w:val="clear" w:color="auto" w:fill="auto"/>
            <w:noWrap/>
            <w:vAlign w:val="center"/>
            <w:hideMark/>
          </w:tcPr>
          <w:p w14:paraId="07C65607"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Subscriptions</w:t>
            </w:r>
          </w:p>
        </w:tc>
        <w:tc>
          <w:tcPr>
            <w:tcW w:w="1370" w:type="dxa"/>
            <w:tcBorders>
              <w:top w:val="nil"/>
              <w:left w:val="nil"/>
              <w:bottom w:val="nil"/>
              <w:right w:val="nil"/>
            </w:tcBorders>
            <w:shd w:val="clear" w:color="auto" w:fill="auto"/>
            <w:noWrap/>
            <w:vAlign w:val="center"/>
            <w:hideMark/>
          </w:tcPr>
          <w:p w14:paraId="5EDEEEBB"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4,548 </w:t>
            </w:r>
          </w:p>
        </w:tc>
        <w:tc>
          <w:tcPr>
            <w:tcW w:w="1370" w:type="dxa"/>
            <w:tcBorders>
              <w:top w:val="nil"/>
              <w:left w:val="nil"/>
              <w:bottom w:val="nil"/>
              <w:right w:val="nil"/>
            </w:tcBorders>
            <w:shd w:val="clear" w:color="auto" w:fill="auto"/>
            <w:noWrap/>
            <w:vAlign w:val="center"/>
            <w:hideMark/>
          </w:tcPr>
          <w:p w14:paraId="297971DF"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381 </w:t>
            </w:r>
          </w:p>
        </w:tc>
        <w:tc>
          <w:tcPr>
            <w:tcW w:w="1220" w:type="dxa"/>
            <w:tcBorders>
              <w:top w:val="nil"/>
              <w:left w:val="nil"/>
              <w:bottom w:val="nil"/>
              <w:right w:val="nil"/>
            </w:tcBorders>
            <w:shd w:val="clear" w:color="000000" w:fill="BFBFBF"/>
            <w:noWrap/>
            <w:vAlign w:val="center"/>
            <w:hideMark/>
          </w:tcPr>
          <w:p w14:paraId="33124E1B"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NA</w:t>
            </w:r>
          </w:p>
        </w:tc>
      </w:tr>
      <w:tr w:rsidR="002817CC" w:rsidRPr="002817CC" w14:paraId="3F529ED0" w14:textId="77777777" w:rsidTr="002817CC">
        <w:trPr>
          <w:trHeight w:val="250"/>
        </w:trPr>
        <w:tc>
          <w:tcPr>
            <w:tcW w:w="2941" w:type="dxa"/>
            <w:tcBorders>
              <w:top w:val="nil"/>
              <w:left w:val="nil"/>
              <w:bottom w:val="nil"/>
              <w:right w:val="nil"/>
            </w:tcBorders>
            <w:shd w:val="clear" w:color="auto" w:fill="auto"/>
            <w:noWrap/>
            <w:vAlign w:val="center"/>
            <w:hideMark/>
          </w:tcPr>
          <w:p w14:paraId="3F8A1481"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Donations</w:t>
            </w:r>
          </w:p>
        </w:tc>
        <w:tc>
          <w:tcPr>
            <w:tcW w:w="1370" w:type="dxa"/>
            <w:tcBorders>
              <w:top w:val="nil"/>
              <w:left w:val="nil"/>
              <w:bottom w:val="nil"/>
              <w:right w:val="nil"/>
            </w:tcBorders>
            <w:shd w:val="clear" w:color="auto" w:fill="auto"/>
            <w:noWrap/>
            <w:vAlign w:val="center"/>
            <w:hideMark/>
          </w:tcPr>
          <w:p w14:paraId="2F417AB9"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8,740 </w:t>
            </w:r>
          </w:p>
        </w:tc>
        <w:tc>
          <w:tcPr>
            <w:tcW w:w="1370" w:type="dxa"/>
            <w:tcBorders>
              <w:top w:val="nil"/>
              <w:left w:val="nil"/>
              <w:bottom w:val="nil"/>
              <w:right w:val="nil"/>
            </w:tcBorders>
            <w:shd w:val="clear" w:color="auto" w:fill="auto"/>
            <w:noWrap/>
            <w:vAlign w:val="center"/>
            <w:hideMark/>
          </w:tcPr>
          <w:p w14:paraId="7E0DC739"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   </w:t>
            </w:r>
          </w:p>
        </w:tc>
        <w:tc>
          <w:tcPr>
            <w:tcW w:w="1220" w:type="dxa"/>
            <w:tcBorders>
              <w:top w:val="nil"/>
              <w:left w:val="nil"/>
              <w:bottom w:val="nil"/>
              <w:right w:val="nil"/>
            </w:tcBorders>
            <w:shd w:val="clear" w:color="000000" w:fill="BFBFBF"/>
            <w:noWrap/>
            <w:vAlign w:val="center"/>
            <w:hideMark/>
          </w:tcPr>
          <w:p w14:paraId="71A0C280"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NA</w:t>
            </w:r>
          </w:p>
        </w:tc>
      </w:tr>
      <w:tr w:rsidR="002817CC" w:rsidRPr="002817CC" w14:paraId="4104AB5D" w14:textId="77777777" w:rsidTr="002817CC">
        <w:trPr>
          <w:trHeight w:val="260"/>
        </w:trPr>
        <w:tc>
          <w:tcPr>
            <w:tcW w:w="2941" w:type="dxa"/>
            <w:tcBorders>
              <w:top w:val="nil"/>
              <w:left w:val="nil"/>
              <w:bottom w:val="nil"/>
              <w:right w:val="nil"/>
            </w:tcBorders>
            <w:shd w:val="clear" w:color="auto" w:fill="auto"/>
            <w:noWrap/>
            <w:vAlign w:val="center"/>
            <w:hideMark/>
          </w:tcPr>
          <w:p w14:paraId="5FA36435"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Total Income</w:t>
            </w:r>
          </w:p>
        </w:tc>
        <w:tc>
          <w:tcPr>
            <w:tcW w:w="1370" w:type="dxa"/>
            <w:tcBorders>
              <w:top w:val="single" w:sz="4" w:space="0" w:color="auto"/>
              <w:left w:val="nil"/>
              <w:bottom w:val="nil"/>
              <w:right w:val="nil"/>
            </w:tcBorders>
            <w:shd w:val="clear" w:color="auto" w:fill="auto"/>
            <w:noWrap/>
            <w:vAlign w:val="center"/>
            <w:hideMark/>
          </w:tcPr>
          <w:p w14:paraId="1A482C82"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 xml:space="preserve">        93,033 </w:t>
            </w:r>
          </w:p>
        </w:tc>
        <w:tc>
          <w:tcPr>
            <w:tcW w:w="1370" w:type="dxa"/>
            <w:tcBorders>
              <w:top w:val="single" w:sz="4" w:space="0" w:color="auto"/>
              <w:left w:val="nil"/>
              <w:bottom w:val="nil"/>
              <w:right w:val="nil"/>
            </w:tcBorders>
            <w:shd w:val="clear" w:color="auto" w:fill="auto"/>
            <w:noWrap/>
            <w:vAlign w:val="center"/>
            <w:hideMark/>
          </w:tcPr>
          <w:p w14:paraId="5DE0363D"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 xml:space="preserve">        84,511 </w:t>
            </w:r>
          </w:p>
        </w:tc>
        <w:tc>
          <w:tcPr>
            <w:tcW w:w="1220" w:type="dxa"/>
            <w:tcBorders>
              <w:top w:val="nil"/>
              <w:left w:val="nil"/>
              <w:bottom w:val="nil"/>
              <w:right w:val="nil"/>
            </w:tcBorders>
            <w:shd w:val="clear" w:color="000000" w:fill="BFBFBF"/>
            <w:noWrap/>
            <w:vAlign w:val="center"/>
            <w:hideMark/>
          </w:tcPr>
          <w:p w14:paraId="7D8DB925" w14:textId="77777777" w:rsidR="002817CC" w:rsidRPr="002817CC" w:rsidRDefault="002817CC" w:rsidP="002817CC">
            <w:pPr>
              <w:spacing w:after="0" w:line="240" w:lineRule="auto"/>
              <w:jc w:val="center"/>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10%</w:t>
            </w:r>
          </w:p>
        </w:tc>
      </w:tr>
      <w:tr w:rsidR="002817CC" w:rsidRPr="002817CC" w14:paraId="731D027B" w14:textId="77777777" w:rsidTr="002817CC">
        <w:trPr>
          <w:trHeight w:val="250"/>
        </w:trPr>
        <w:tc>
          <w:tcPr>
            <w:tcW w:w="2941" w:type="dxa"/>
            <w:tcBorders>
              <w:top w:val="nil"/>
              <w:left w:val="nil"/>
              <w:bottom w:val="nil"/>
              <w:right w:val="nil"/>
            </w:tcBorders>
            <w:shd w:val="clear" w:color="auto" w:fill="auto"/>
            <w:noWrap/>
            <w:vAlign w:val="center"/>
            <w:hideMark/>
          </w:tcPr>
          <w:p w14:paraId="6B2EF06A" w14:textId="77777777" w:rsidR="002817CC" w:rsidRPr="002817CC" w:rsidRDefault="002817CC" w:rsidP="002817CC">
            <w:pPr>
              <w:spacing w:after="0" w:line="240" w:lineRule="auto"/>
              <w:jc w:val="center"/>
              <w:rPr>
                <w:rFonts w:ascii="Arial" w:eastAsia="Times New Roman" w:hAnsi="Arial" w:cs="Arial"/>
                <w:b/>
                <w:bCs/>
                <w:sz w:val="20"/>
                <w:szCs w:val="20"/>
                <w:lang w:eastAsia="en-AU"/>
              </w:rPr>
            </w:pPr>
          </w:p>
        </w:tc>
        <w:tc>
          <w:tcPr>
            <w:tcW w:w="1370" w:type="dxa"/>
            <w:tcBorders>
              <w:top w:val="nil"/>
              <w:left w:val="nil"/>
              <w:bottom w:val="nil"/>
              <w:right w:val="nil"/>
            </w:tcBorders>
            <w:shd w:val="clear" w:color="auto" w:fill="auto"/>
            <w:noWrap/>
            <w:vAlign w:val="center"/>
            <w:hideMark/>
          </w:tcPr>
          <w:p w14:paraId="02CA065A"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370" w:type="dxa"/>
            <w:tcBorders>
              <w:top w:val="nil"/>
              <w:left w:val="nil"/>
              <w:bottom w:val="nil"/>
              <w:right w:val="nil"/>
            </w:tcBorders>
            <w:shd w:val="clear" w:color="auto" w:fill="auto"/>
            <w:noWrap/>
            <w:vAlign w:val="center"/>
            <w:hideMark/>
          </w:tcPr>
          <w:p w14:paraId="1B625748"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220" w:type="dxa"/>
            <w:tcBorders>
              <w:top w:val="nil"/>
              <w:left w:val="nil"/>
              <w:bottom w:val="nil"/>
              <w:right w:val="nil"/>
            </w:tcBorders>
            <w:shd w:val="clear" w:color="000000" w:fill="BFBFBF"/>
            <w:noWrap/>
            <w:vAlign w:val="center"/>
            <w:hideMark/>
          </w:tcPr>
          <w:p w14:paraId="26BB1B8F"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 </w:t>
            </w:r>
          </w:p>
        </w:tc>
      </w:tr>
      <w:tr w:rsidR="002817CC" w:rsidRPr="002817CC" w14:paraId="725DE291" w14:textId="77777777" w:rsidTr="002817CC">
        <w:trPr>
          <w:trHeight w:val="250"/>
        </w:trPr>
        <w:tc>
          <w:tcPr>
            <w:tcW w:w="2941" w:type="dxa"/>
            <w:tcBorders>
              <w:top w:val="nil"/>
              <w:left w:val="nil"/>
              <w:bottom w:val="nil"/>
              <w:right w:val="nil"/>
            </w:tcBorders>
            <w:shd w:val="clear" w:color="auto" w:fill="auto"/>
            <w:noWrap/>
            <w:vAlign w:val="center"/>
            <w:hideMark/>
          </w:tcPr>
          <w:p w14:paraId="3AF5181A"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Less: Cost of Sales</w:t>
            </w:r>
          </w:p>
        </w:tc>
        <w:tc>
          <w:tcPr>
            <w:tcW w:w="1370" w:type="dxa"/>
            <w:tcBorders>
              <w:top w:val="nil"/>
              <w:left w:val="nil"/>
              <w:bottom w:val="nil"/>
              <w:right w:val="nil"/>
            </w:tcBorders>
            <w:shd w:val="clear" w:color="auto" w:fill="auto"/>
            <w:noWrap/>
            <w:vAlign w:val="center"/>
            <w:hideMark/>
          </w:tcPr>
          <w:p w14:paraId="67AA7B2E"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37,788 </w:t>
            </w:r>
          </w:p>
        </w:tc>
        <w:tc>
          <w:tcPr>
            <w:tcW w:w="1370" w:type="dxa"/>
            <w:tcBorders>
              <w:top w:val="nil"/>
              <w:left w:val="nil"/>
              <w:bottom w:val="nil"/>
              <w:right w:val="nil"/>
            </w:tcBorders>
            <w:shd w:val="clear" w:color="auto" w:fill="auto"/>
            <w:noWrap/>
            <w:vAlign w:val="center"/>
            <w:hideMark/>
          </w:tcPr>
          <w:p w14:paraId="12447678"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47,627 </w:t>
            </w:r>
          </w:p>
        </w:tc>
        <w:tc>
          <w:tcPr>
            <w:tcW w:w="1220" w:type="dxa"/>
            <w:tcBorders>
              <w:top w:val="nil"/>
              <w:left w:val="nil"/>
              <w:bottom w:val="nil"/>
              <w:right w:val="nil"/>
            </w:tcBorders>
            <w:shd w:val="clear" w:color="000000" w:fill="BFBFBF"/>
            <w:noWrap/>
            <w:vAlign w:val="center"/>
            <w:hideMark/>
          </w:tcPr>
          <w:p w14:paraId="67819C81"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-21%</w:t>
            </w:r>
          </w:p>
        </w:tc>
      </w:tr>
      <w:tr w:rsidR="002817CC" w:rsidRPr="002817CC" w14:paraId="3A715F1A" w14:textId="77777777" w:rsidTr="002817CC">
        <w:trPr>
          <w:trHeight w:val="250"/>
        </w:trPr>
        <w:tc>
          <w:tcPr>
            <w:tcW w:w="2941" w:type="dxa"/>
            <w:tcBorders>
              <w:top w:val="nil"/>
              <w:left w:val="nil"/>
              <w:bottom w:val="nil"/>
              <w:right w:val="nil"/>
            </w:tcBorders>
            <w:shd w:val="clear" w:color="auto" w:fill="auto"/>
            <w:noWrap/>
            <w:vAlign w:val="center"/>
            <w:hideMark/>
          </w:tcPr>
          <w:p w14:paraId="16C9CF7C" w14:textId="77777777" w:rsidR="002817CC" w:rsidRPr="002817CC" w:rsidRDefault="002817CC" w:rsidP="002817CC">
            <w:pPr>
              <w:spacing w:after="0" w:line="240" w:lineRule="auto"/>
              <w:jc w:val="center"/>
              <w:rPr>
                <w:rFonts w:ascii="Arial" w:eastAsia="Times New Roman" w:hAnsi="Arial" w:cs="Arial"/>
                <w:sz w:val="20"/>
                <w:szCs w:val="20"/>
                <w:lang w:eastAsia="en-AU"/>
              </w:rPr>
            </w:pPr>
          </w:p>
        </w:tc>
        <w:tc>
          <w:tcPr>
            <w:tcW w:w="1370" w:type="dxa"/>
            <w:tcBorders>
              <w:top w:val="nil"/>
              <w:left w:val="nil"/>
              <w:bottom w:val="nil"/>
              <w:right w:val="nil"/>
            </w:tcBorders>
            <w:shd w:val="clear" w:color="auto" w:fill="auto"/>
            <w:noWrap/>
            <w:vAlign w:val="center"/>
            <w:hideMark/>
          </w:tcPr>
          <w:p w14:paraId="572996CC"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370" w:type="dxa"/>
            <w:tcBorders>
              <w:top w:val="nil"/>
              <w:left w:val="nil"/>
              <w:bottom w:val="nil"/>
              <w:right w:val="nil"/>
            </w:tcBorders>
            <w:shd w:val="clear" w:color="auto" w:fill="auto"/>
            <w:noWrap/>
            <w:vAlign w:val="center"/>
            <w:hideMark/>
          </w:tcPr>
          <w:p w14:paraId="718AE646"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220" w:type="dxa"/>
            <w:tcBorders>
              <w:top w:val="nil"/>
              <w:left w:val="nil"/>
              <w:bottom w:val="nil"/>
              <w:right w:val="nil"/>
            </w:tcBorders>
            <w:shd w:val="clear" w:color="000000" w:fill="BFBFBF"/>
            <w:noWrap/>
            <w:vAlign w:val="center"/>
            <w:hideMark/>
          </w:tcPr>
          <w:p w14:paraId="78B10748"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 </w:t>
            </w:r>
          </w:p>
        </w:tc>
      </w:tr>
      <w:tr w:rsidR="002817CC" w:rsidRPr="002817CC" w14:paraId="5E0E5C62" w14:textId="77777777" w:rsidTr="002817CC">
        <w:trPr>
          <w:trHeight w:val="260"/>
        </w:trPr>
        <w:tc>
          <w:tcPr>
            <w:tcW w:w="2941" w:type="dxa"/>
            <w:tcBorders>
              <w:top w:val="nil"/>
              <w:left w:val="nil"/>
              <w:bottom w:val="nil"/>
              <w:right w:val="nil"/>
            </w:tcBorders>
            <w:shd w:val="clear" w:color="auto" w:fill="auto"/>
            <w:noWrap/>
            <w:vAlign w:val="center"/>
            <w:hideMark/>
          </w:tcPr>
          <w:p w14:paraId="2A5A2B5C"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Gross Profit</w:t>
            </w:r>
          </w:p>
        </w:tc>
        <w:tc>
          <w:tcPr>
            <w:tcW w:w="1370" w:type="dxa"/>
            <w:tcBorders>
              <w:top w:val="single" w:sz="4" w:space="0" w:color="auto"/>
              <w:left w:val="nil"/>
              <w:bottom w:val="nil"/>
              <w:right w:val="nil"/>
            </w:tcBorders>
            <w:shd w:val="clear" w:color="auto" w:fill="auto"/>
            <w:noWrap/>
            <w:vAlign w:val="center"/>
            <w:hideMark/>
          </w:tcPr>
          <w:p w14:paraId="603E23C3"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 xml:space="preserve">        55,245 </w:t>
            </w:r>
          </w:p>
        </w:tc>
        <w:tc>
          <w:tcPr>
            <w:tcW w:w="1370" w:type="dxa"/>
            <w:tcBorders>
              <w:top w:val="single" w:sz="4" w:space="0" w:color="auto"/>
              <w:left w:val="nil"/>
              <w:bottom w:val="nil"/>
              <w:right w:val="nil"/>
            </w:tcBorders>
            <w:shd w:val="clear" w:color="auto" w:fill="auto"/>
            <w:noWrap/>
            <w:vAlign w:val="center"/>
            <w:hideMark/>
          </w:tcPr>
          <w:p w14:paraId="4AEEEAA6"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 xml:space="preserve">        36,884 </w:t>
            </w:r>
          </w:p>
        </w:tc>
        <w:tc>
          <w:tcPr>
            <w:tcW w:w="1220" w:type="dxa"/>
            <w:tcBorders>
              <w:top w:val="nil"/>
              <w:left w:val="nil"/>
              <w:bottom w:val="nil"/>
              <w:right w:val="nil"/>
            </w:tcBorders>
            <w:shd w:val="clear" w:color="000000" w:fill="BFBFBF"/>
            <w:noWrap/>
            <w:vAlign w:val="center"/>
            <w:hideMark/>
          </w:tcPr>
          <w:p w14:paraId="4AACB0FB" w14:textId="77777777" w:rsidR="002817CC" w:rsidRPr="002817CC" w:rsidRDefault="002817CC" w:rsidP="002817CC">
            <w:pPr>
              <w:spacing w:after="0" w:line="240" w:lineRule="auto"/>
              <w:jc w:val="center"/>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50%</w:t>
            </w:r>
          </w:p>
        </w:tc>
      </w:tr>
      <w:tr w:rsidR="002817CC" w:rsidRPr="002817CC" w14:paraId="67B4A0D8" w14:textId="77777777" w:rsidTr="002817CC">
        <w:trPr>
          <w:trHeight w:val="260"/>
        </w:trPr>
        <w:tc>
          <w:tcPr>
            <w:tcW w:w="2941" w:type="dxa"/>
            <w:tcBorders>
              <w:top w:val="nil"/>
              <w:left w:val="nil"/>
              <w:bottom w:val="nil"/>
              <w:right w:val="nil"/>
            </w:tcBorders>
            <w:shd w:val="clear" w:color="auto" w:fill="auto"/>
            <w:noWrap/>
            <w:vAlign w:val="center"/>
            <w:hideMark/>
          </w:tcPr>
          <w:p w14:paraId="67FAF537" w14:textId="77777777" w:rsidR="002817CC" w:rsidRPr="002817CC" w:rsidRDefault="002817CC" w:rsidP="002817CC">
            <w:pPr>
              <w:spacing w:after="0" w:line="240" w:lineRule="auto"/>
              <w:rPr>
                <w:rFonts w:ascii="Arial" w:eastAsia="Times New Roman" w:hAnsi="Arial" w:cs="Arial"/>
                <w:i/>
                <w:iCs/>
                <w:sz w:val="20"/>
                <w:szCs w:val="20"/>
                <w:lang w:eastAsia="en-AU"/>
              </w:rPr>
            </w:pPr>
            <w:r w:rsidRPr="002817CC">
              <w:rPr>
                <w:rFonts w:ascii="Arial" w:eastAsia="Times New Roman" w:hAnsi="Arial" w:cs="Arial"/>
                <w:i/>
                <w:iCs/>
                <w:sz w:val="20"/>
                <w:szCs w:val="20"/>
                <w:lang w:eastAsia="en-AU"/>
              </w:rPr>
              <w:t>Gross Profit Margin</w:t>
            </w:r>
          </w:p>
        </w:tc>
        <w:tc>
          <w:tcPr>
            <w:tcW w:w="1370" w:type="dxa"/>
            <w:tcBorders>
              <w:top w:val="nil"/>
              <w:left w:val="nil"/>
              <w:bottom w:val="nil"/>
              <w:right w:val="nil"/>
            </w:tcBorders>
            <w:shd w:val="clear" w:color="auto" w:fill="auto"/>
            <w:noWrap/>
            <w:vAlign w:val="center"/>
            <w:hideMark/>
          </w:tcPr>
          <w:p w14:paraId="219E221D" w14:textId="77777777" w:rsidR="002817CC" w:rsidRPr="002817CC" w:rsidRDefault="002817CC" w:rsidP="002817CC">
            <w:pPr>
              <w:spacing w:after="0" w:line="240" w:lineRule="auto"/>
              <w:jc w:val="right"/>
              <w:rPr>
                <w:rFonts w:ascii="Arial" w:eastAsia="Times New Roman" w:hAnsi="Arial" w:cs="Arial"/>
                <w:i/>
                <w:iCs/>
                <w:sz w:val="20"/>
                <w:szCs w:val="20"/>
                <w:lang w:eastAsia="en-AU"/>
              </w:rPr>
            </w:pPr>
            <w:r w:rsidRPr="002817CC">
              <w:rPr>
                <w:rFonts w:ascii="Arial" w:eastAsia="Times New Roman" w:hAnsi="Arial" w:cs="Arial"/>
                <w:i/>
                <w:iCs/>
                <w:sz w:val="20"/>
                <w:szCs w:val="20"/>
                <w:lang w:eastAsia="en-AU"/>
              </w:rPr>
              <w:t>59%</w:t>
            </w:r>
          </w:p>
        </w:tc>
        <w:tc>
          <w:tcPr>
            <w:tcW w:w="1370" w:type="dxa"/>
            <w:tcBorders>
              <w:top w:val="nil"/>
              <w:left w:val="nil"/>
              <w:bottom w:val="nil"/>
              <w:right w:val="nil"/>
            </w:tcBorders>
            <w:shd w:val="clear" w:color="auto" w:fill="auto"/>
            <w:noWrap/>
            <w:vAlign w:val="center"/>
            <w:hideMark/>
          </w:tcPr>
          <w:p w14:paraId="4A8F71ED" w14:textId="77777777" w:rsidR="002817CC" w:rsidRPr="002817CC" w:rsidRDefault="002817CC" w:rsidP="002817CC">
            <w:pPr>
              <w:spacing w:after="0" w:line="240" w:lineRule="auto"/>
              <w:jc w:val="right"/>
              <w:rPr>
                <w:rFonts w:ascii="Arial" w:eastAsia="Times New Roman" w:hAnsi="Arial" w:cs="Arial"/>
                <w:i/>
                <w:iCs/>
                <w:sz w:val="20"/>
                <w:szCs w:val="20"/>
                <w:lang w:eastAsia="en-AU"/>
              </w:rPr>
            </w:pPr>
            <w:r w:rsidRPr="002817CC">
              <w:rPr>
                <w:rFonts w:ascii="Arial" w:eastAsia="Times New Roman" w:hAnsi="Arial" w:cs="Arial"/>
                <w:i/>
                <w:iCs/>
                <w:sz w:val="20"/>
                <w:szCs w:val="20"/>
                <w:lang w:eastAsia="en-AU"/>
              </w:rPr>
              <w:t>44%</w:t>
            </w:r>
          </w:p>
        </w:tc>
        <w:tc>
          <w:tcPr>
            <w:tcW w:w="1220" w:type="dxa"/>
            <w:tcBorders>
              <w:top w:val="nil"/>
              <w:left w:val="nil"/>
              <w:bottom w:val="nil"/>
              <w:right w:val="nil"/>
            </w:tcBorders>
            <w:shd w:val="clear" w:color="000000" w:fill="BFBFBF"/>
            <w:noWrap/>
            <w:vAlign w:val="center"/>
            <w:hideMark/>
          </w:tcPr>
          <w:p w14:paraId="7C125E32"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 </w:t>
            </w:r>
          </w:p>
        </w:tc>
      </w:tr>
      <w:tr w:rsidR="002817CC" w:rsidRPr="002817CC" w14:paraId="536ADF6D" w14:textId="77777777" w:rsidTr="002817CC">
        <w:trPr>
          <w:trHeight w:val="250"/>
        </w:trPr>
        <w:tc>
          <w:tcPr>
            <w:tcW w:w="2941" w:type="dxa"/>
            <w:tcBorders>
              <w:top w:val="nil"/>
              <w:left w:val="nil"/>
              <w:bottom w:val="nil"/>
              <w:right w:val="nil"/>
            </w:tcBorders>
            <w:shd w:val="clear" w:color="auto" w:fill="auto"/>
            <w:noWrap/>
            <w:vAlign w:val="center"/>
            <w:hideMark/>
          </w:tcPr>
          <w:p w14:paraId="178B61E7" w14:textId="77777777" w:rsidR="002817CC" w:rsidRPr="002817CC" w:rsidRDefault="002817CC" w:rsidP="002817CC">
            <w:pPr>
              <w:spacing w:after="0" w:line="240" w:lineRule="auto"/>
              <w:jc w:val="center"/>
              <w:rPr>
                <w:rFonts w:ascii="Arial" w:eastAsia="Times New Roman" w:hAnsi="Arial" w:cs="Arial"/>
                <w:sz w:val="20"/>
                <w:szCs w:val="20"/>
                <w:lang w:eastAsia="en-AU"/>
              </w:rPr>
            </w:pPr>
          </w:p>
        </w:tc>
        <w:tc>
          <w:tcPr>
            <w:tcW w:w="1370" w:type="dxa"/>
            <w:tcBorders>
              <w:top w:val="nil"/>
              <w:left w:val="nil"/>
              <w:bottom w:val="nil"/>
              <w:right w:val="nil"/>
            </w:tcBorders>
            <w:shd w:val="clear" w:color="auto" w:fill="auto"/>
            <w:noWrap/>
            <w:vAlign w:val="center"/>
            <w:hideMark/>
          </w:tcPr>
          <w:p w14:paraId="59378FD1"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370" w:type="dxa"/>
            <w:tcBorders>
              <w:top w:val="nil"/>
              <w:left w:val="nil"/>
              <w:bottom w:val="nil"/>
              <w:right w:val="nil"/>
            </w:tcBorders>
            <w:shd w:val="clear" w:color="auto" w:fill="auto"/>
            <w:noWrap/>
            <w:vAlign w:val="center"/>
            <w:hideMark/>
          </w:tcPr>
          <w:p w14:paraId="439527E8"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220" w:type="dxa"/>
            <w:tcBorders>
              <w:top w:val="nil"/>
              <w:left w:val="nil"/>
              <w:bottom w:val="nil"/>
              <w:right w:val="nil"/>
            </w:tcBorders>
            <w:shd w:val="clear" w:color="000000" w:fill="BFBFBF"/>
            <w:noWrap/>
            <w:vAlign w:val="center"/>
            <w:hideMark/>
          </w:tcPr>
          <w:p w14:paraId="4C28C719"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 </w:t>
            </w:r>
          </w:p>
        </w:tc>
      </w:tr>
      <w:tr w:rsidR="002817CC" w:rsidRPr="002817CC" w14:paraId="7522981A" w14:textId="77777777" w:rsidTr="002817CC">
        <w:trPr>
          <w:trHeight w:val="250"/>
        </w:trPr>
        <w:tc>
          <w:tcPr>
            <w:tcW w:w="2941" w:type="dxa"/>
            <w:tcBorders>
              <w:top w:val="nil"/>
              <w:left w:val="nil"/>
              <w:bottom w:val="nil"/>
              <w:right w:val="nil"/>
            </w:tcBorders>
            <w:shd w:val="clear" w:color="auto" w:fill="auto"/>
            <w:noWrap/>
            <w:vAlign w:val="center"/>
            <w:hideMark/>
          </w:tcPr>
          <w:p w14:paraId="460A2E2A"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Operating Expenses</w:t>
            </w:r>
          </w:p>
        </w:tc>
        <w:tc>
          <w:tcPr>
            <w:tcW w:w="1370" w:type="dxa"/>
            <w:tcBorders>
              <w:top w:val="nil"/>
              <w:left w:val="nil"/>
              <w:bottom w:val="nil"/>
              <w:right w:val="nil"/>
            </w:tcBorders>
            <w:shd w:val="clear" w:color="auto" w:fill="auto"/>
            <w:noWrap/>
            <w:vAlign w:val="center"/>
            <w:hideMark/>
          </w:tcPr>
          <w:p w14:paraId="0F99EBBC" w14:textId="77777777" w:rsidR="002817CC" w:rsidRPr="002817CC" w:rsidRDefault="002817CC" w:rsidP="002817CC">
            <w:pPr>
              <w:spacing w:after="0" w:line="240" w:lineRule="auto"/>
              <w:rPr>
                <w:rFonts w:ascii="Arial" w:eastAsia="Times New Roman" w:hAnsi="Arial" w:cs="Arial"/>
                <w:sz w:val="20"/>
                <w:szCs w:val="20"/>
                <w:lang w:eastAsia="en-AU"/>
              </w:rPr>
            </w:pPr>
          </w:p>
        </w:tc>
        <w:tc>
          <w:tcPr>
            <w:tcW w:w="1370" w:type="dxa"/>
            <w:tcBorders>
              <w:top w:val="nil"/>
              <w:left w:val="nil"/>
              <w:bottom w:val="nil"/>
              <w:right w:val="nil"/>
            </w:tcBorders>
            <w:shd w:val="clear" w:color="auto" w:fill="auto"/>
            <w:noWrap/>
            <w:vAlign w:val="center"/>
            <w:hideMark/>
          </w:tcPr>
          <w:p w14:paraId="1EF5430C"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220" w:type="dxa"/>
            <w:tcBorders>
              <w:top w:val="nil"/>
              <w:left w:val="nil"/>
              <w:bottom w:val="nil"/>
              <w:right w:val="nil"/>
            </w:tcBorders>
            <w:shd w:val="clear" w:color="000000" w:fill="BFBFBF"/>
            <w:noWrap/>
            <w:vAlign w:val="center"/>
            <w:hideMark/>
          </w:tcPr>
          <w:p w14:paraId="4219DC3B"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 </w:t>
            </w:r>
          </w:p>
        </w:tc>
      </w:tr>
      <w:tr w:rsidR="002817CC" w:rsidRPr="002817CC" w14:paraId="65373E77" w14:textId="77777777" w:rsidTr="002817CC">
        <w:trPr>
          <w:trHeight w:val="250"/>
        </w:trPr>
        <w:tc>
          <w:tcPr>
            <w:tcW w:w="2941" w:type="dxa"/>
            <w:tcBorders>
              <w:top w:val="nil"/>
              <w:left w:val="nil"/>
              <w:bottom w:val="nil"/>
              <w:right w:val="nil"/>
            </w:tcBorders>
            <w:shd w:val="clear" w:color="auto" w:fill="auto"/>
            <w:noWrap/>
            <w:vAlign w:val="center"/>
            <w:hideMark/>
          </w:tcPr>
          <w:p w14:paraId="4B320106"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Administrative Expenses</w:t>
            </w:r>
          </w:p>
        </w:tc>
        <w:tc>
          <w:tcPr>
            <w:tcW w:w="1370" w:type="dxa"/>
            <w:tcBorders>
              <w:top w:val="nil"/>
              <w:left w:val="nil"/>
              <w:bottom w:val="nil"/>
              <w:right w:val="nil"/>
            </w:tcBorders>
            <w:shd w:val="clear" w:color="auto" w:fill="auto"/>
            <w:noWrap/>
            <w:vAlign w:val="center"/>
            <w:hideMark/>
          </w:tcPr>
          <w:p w14:paraId="585E2C74"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2,861 </w:t>
            </w:r>
          </w:p>
        </w:tc>
        <w:tc>
          <w:tcPr>
            <w:tcW w:w="1370" w:type="dxa"/>
            <w:tcBorders>
              <w:top w:val="nil"/>
              <w:left w:val="nil"/>
              <w:bottom w:val="nil"/>
              <w:right w:val="nil"/>
            </w:tcBorders>
            <w:shd w:val="clear" w:color="auto" w:fill="auto"/>
            <w:noWrap/>
            <w:vAlign w:val="center"/>
            <w:hideMark/>
          </w:tcPr>
          <w:p w14:paraId="2FDC3FD9"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4,106 </w:t>
            </w:r>
          </w:p>
        </w:tc>
        <w:tc>
          <w:tcPr>
            <w:tcW w:w="1220" w:type="dxa"/>
            <w:tcBorders>
              <w:top w:val="nil"/>
              <w:left w:val="nil"/>
              <w:bottom w:val="nil"/>
              <w:right w:val="nil"/>
            </w:tcBorders>
            <w:shd w:val="clear" w:color="000000" w:fill="BFBFBF"/>
            <w:noWrap/>
            <w:vAlign w:val="center"/>
            <w:hideMark/>
          </w:tcPr>
          <w:p w14:paraId="2F8A3C47"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-30%</w:t>
            </w:r>
          </w:p>
        </w:tc>
      </w:tr>
      <w:tr w:rsidR="002817CC" w:rsidRPr="002817CC" w14:paraId="363526EC" w14:textId="77777777" w:rsidTr="002817CC">
        <w:trPr>
          <w:trHeight w:val="250"/>
        </w:trPr>
        <w:tc>
          <w:tcPr>
            <w:tcW w:w="2941" w:type="dxa"/>
            <w:tcBorders>
              <w:top w:val="nil"/>
              <w:left w:val="nil"/>
              <w:bottom w:val="nil"/>
              <w:right w:val="nil"/>
            </w:tcBorders>
            <w:shd w:val="clear" w:color="auto" w:fill="auto"/>
            <w:noWrap/>
            <w:vAlign w:val="center"/>
            <w:hideMark/>
          </w:tcPr>
          <w:p w14:paraId="136450CC"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Employee Expenses </w:t>
            </w:r>
          </w:p>
        </w:tc>
        <w:tc>
          <w:tcPr>
            <w:tcW w:w="1370" w:type="dxa"/>
            <w:tcBorders>
              <w:top w:val="nil"/>
              <w:left w:val="nil"/>
              <w:bottom w:val="nil"/>
              <w:right w:val="nil"/>
            </w:tcBorders>
            <w:shd w:val="clear" w:color="auto" w:fill="auto"/>
            <w:noWrap/>
            <w:vAlign w:val="center"/>
            <w:hideMark/>
          </w:tcPr>
          <w:p w14:paraId="0A7C555D"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12,278 </w:t>
            </w:r>
          </w:p>
        </w:tc>
        <w:tc>
          <w:tcPr>
            <w:tcW w:w="1370" w:type="dxa"/>
            <w:tcBorders>
              <w:top w:val="nil"/>
              <w:left w:val="nil"/>
              <w:bottom w:val="nil"/>
              <w:right w:val="nil"/>
            </w:tcBorders>
            <w:shd w:val="clear" w:color="auto" w:fill="auto"/>
            <w:noWrap/>
            <w:vAlign w:val="center"/>
            <w:hideMark/>
          </w:tcPr>
          <w:p w14:paraId="5EE38D8D"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34,395 </w:t>
            </w:r>
          </w:p>
        </w:tc>
        <w:tc>
          <w:tcPr>
            <w:tcW w:w="1220" w:type="dxa"/>
            <w:tcBorders>
              <w:top w:val="nil"/>
              <w:left w:val="nil"/>
              <w:bottom w:val="nil"/>
              <w:right w:val="nil"/>
            </w:tcBorders>
            <w:shd w:val="clear" w:color="000000" w:fill="BFBFBF"/>
            <w:noWrap/>
            <w:vAlign w:val="center"/>
            <w:hideMark/>
          </w:tcPr>
          <w:p w14:paraId="5ABA3FF9"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-64%</w:t>
            </w:r>
          </w:p>
        </w:tc>
      </w:tr>
      <w:tr w:rsidR="002817CC" w:rsidRPr="002817CC" w14:paraId="1082765F" w14:textId="77777777" w:rsidTr="002817CC">
        <w:trPr>
          <w:trHeight w:val="250"/>
        </w:trPr>
        <w:tc>
          <w:tcPr>
            <w:tcW w:w="2941" w:type="dxa"/>
            <w:tcBorders>
              <w:top w:val="nil"/>
              <w:left w:val="nil"/>
              <w:bottom w:val="nil"/>
              <w:right w:val="nil"/>
            </w:tcBorders>
            <w:shd w:val="clear" w:color="auto" w:fill="auto"/>
            <w:noWrap/>
            <w:vAlign w:val="center"/>
            <w:hideMark/>
          </w:tcPr>
          <w:p w14:paraId="3023020E"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Communication Expenses</w:t>
            </w:r>
          </w:p>
        </w:tc>
        <w:tc>
          <w:tcPr>
            <w:tcW w:w="1370" w:type="dxa"/>
            <w:tcBorders>
              <w:top w:val="nil"/>
              <w:left w:val="nil"/>
              <w:bottom w:val="nil"/>
              <w:right w:val="nil"/>
            </w:tcBorders>
            <w:shd w:val="clear" w:color="auto" w:fill="auto"/>
            <w:noWrap/>
            <w:vAlign w:val="center"/>
            <w:hideMark/>
          </w:tcPr>
          <w:p w14:paraId="4A129027"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   </w:t>
            </w:r>
          </w:p>
        </w:tc>
        <w:tc>
          <w:tcPr>
            <w:tcW w:w="1370" w:type="dxa"/>
            <w:tcBorders>
              <w:top w:val="nil"/>
              <w:left w:val="nil"/>
              <w:bottom w:val="nil"/>
              <w:right w:val="nil"/>
            </w:tcBorders>
            <w:shd w:val="clear" w:color="auto" w:fill="auto"/>
            <w:noWrap/>
            <w:vAlign w:val="center"/>
            <w:hideMark/>
          </w:tcPr>
          <w:p w14:paraId="4531036E"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220 </w:t>
            </w:r>
          </w:p>
        </w:tc>
        <w:tc>
          <w:tcPr>
            <w:tcW w:w="1220" w:type="dxa"/>
            <w:tcBorders>
              <w:top w:val="nil"/>
              <w:left w:val="nil"/>
              <w:bottom w:val="nil"/>
              <w:right w:val="nil"/>
            </w:tcBorders>
            <w:shd w:val="clear" w:color="000000" w:fill="BFBFBF"/>
            <w:noWrap/>
            <w:vAlign w:val="center"/>
            <w:hideMark/>
          </w:tcPr>
          <w:p w14:paraId="045D75F2"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-100%</w:t>
            </w:r>
          </w:p>
        </w:tc>
      </w:tr>
      <w:tr w:rsidR="002817CC" w:rsidRPr="002817CC" w14:paraId="684A9EE3" w14:textId="77777777" w:rsidTr="002817CC">
        <w:trPr>
          <w:trHeight w:val="250"/>
        </w:trPr>
        <w:tc>
          <w:tcPr>
            <w:tcW w:w="2941" w:type="dxa"/>
            <w:tcBorders>
              <w:top w:val="nil"/>
              <w:left w:val="nil"/>
              <w:bottom w:val="nil"/>
              <w:right w:val="nil"/>
            </w:tcBorders>
            <w:shd w:val="clear" w:color="auto" w:fill="auto"/>
            <w:noWrap/>
            <w:vAlign w:val="center"/>
            <w:hideMark/>
          </w:tcPr>
          <w:p w14:paraId="7803C97D"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Rent and Facility Expenses</w:t>
            </w:r>
          </w:p>
        </w:tc>
        <w:tc>
          <w:tcPr>
            <w:tcW w:w="1370" w:type="dxa"/>
            <w:tcBorders>
              <w:top w:val="nil"/>
              <w:left w:val="nil"/>
              <w:bottom w:val="nil"/>
              <w:right w:val="nil"/>
            </w:tcBorders>
            <w:shd w:val="clear" w:color="auto" w:fill="auto"/>
            <w:noWrap/>
            <w:vAlign w:val="center"/>
            <w:hideMark/>
          </w:tcPr>
          <w:p w14:paraId="4455BC57"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4,580 </w:t>
            </w:r>
          </w:p>
        </w:tc>
        <w:tc>
          <w:tcPr>
            <w:tcW w:w="1370" w:type="dxa"/>
            <w:tcBorders>
              <w:top w:val="nil"/>
              <w:left w:val="nil"/>
              <w:bottom w:val="nil"/>
              <w:right w:val="nil"/>
            </w:tcBorders>
            <w:shd w:val="clear" w:color="auto" w:fill="auto"/>
            <w:noWrap/>
            <w:vAlign w:val="center"/>
            <w:hideMark/>
          </w:tcPr>
          <w:p w14:paraId="2827403B"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4,086 </w:t>
            </w:r>
          </w:p>
        </w:tc>
        <w:tc>
          <w:tcPr>
            <w:tcW w:w="1220" w:type="dxa"/>
            <w:tcBorders>
              <w:top w:val="nil"/>
              <w:left w:val="nil"/>
              <w:bottom w:val="nil"/>
              <w:right w:val="nil"/>
            </w:tcBorders>
            <w:shd w:val="clear" w:color="000000" w:fill="BFBFBF"/>
            <w:noWrap/>
            <w:vAlign w:val="center"/>
            <w:hideMark/>
          </w:tcPr>
          <w:p w14:paraId="04D7DD1F"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12%</w:t>
            </w:r>
          </w:p>
        </w:tc>
      </w:tr>
      <w:tr w:rsidR="002817CC" w:rsidRPr="002817CC" w14:paraId="65828E88" w14:textId="77777777" w:rsidTr="002817CC">
        <w:trPr>
          <w:trHeight w:val="250"/>
        </w:trPr>
        <w:tc>
          <w:tcPr>
            <w:tcW w:w="2941" w:type="dxa"/>
            <w:tcBorders>
              <w:top w:val="nil"/>
              <w:left w:val="nil"/>
              <w:bottom w:val="nil"/>
              <w:right w:val="nil"/>
            </w:tcBorders>
            <w:shd w:val="clear" w:color="auto" w:fill="auto"/>
            <w:noWrap/>
            <w:vAlign w:val="center"/>
            <w:hideMark/>
          </w:tcPr>
          <w:p w14:paraId="11BE6640"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Insurance Expenses</w:t>
            </w:r>
          </w:p>
        </w:tc>
        <w:tc>
          <w:tcPr>
            <w:tcW w:w="1370" w:type="dxa"/>
            <w:tcBorders>
              <w:top w:val="nil"/>
              <w:left w:val="nil"/>
              <w:bottom w:val="nil"/>
              <w:right w:val="nil"/>
            </w:tcBorders>
            <w:shd w:val="clear" w:color="auto" w:fill="auto"/>
            <w:noWrap/>
            <w:vAlign w:val="center"/>
            <w:hideMark/>
          </w:tcPr>
          <w:p w14:paraId="50655B6C"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   </w:t>
            </w:r>
          </w:p>
        </w:tc>
        <w:tc>
          <w:tcPr>
            <w:tcW w:w="1370" w:type="dxa"/>
            <w:tcBorders>
              <w:top w:val="nil"/>
              <w:left w:val="nil"/>
              <w:bottom w:val="nil"/>
              <w:right w:val="nil"/>
            </w:tcBorders>
            <w:shd w:val="clear" w:color="auto" w:fill="auto"/>
            <w:noWrap/>
            <w:vAlign w:val="center"/>
            <w:hideMark/>
          </w:tcPr>
          <w:p w14:paraId="5B712496"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6,820 </w:t>
            </w:r>
          </w:p>
        </w:tc>
        <w:tc>
          <w:tcPr>
            <w:tcW w:w="1220" w:type="dxa"/>
            <w:tcBorders>
              <w:top w:val="nil"/>
              <w:left w:val="nil"/>
              <w:bottom w:val="nil"/>
              <w:right w:val="nil"/>
            </w:tcBorders>
            <w:shd w:val="clear" w:color="000000" w:fill="BFBFBF"/>
            <w:noWrap/>
            <w:vAlign w:val="center"/>
            <w:hideMark/>
          </w:tcPr>
          <w:p w14:paraId="1E956CFB"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-100%</w:t>
            </w:r>
          </w:p>
        </w:tc>
      </w:tr>
      <w:tr w:rsidR="002817CC" w:rsidRPr="002817CC" w14:paraId="4C61B211" w14:textId="77777777" w:rsidTr="002817CC">
        <w:trPr>
          <w:trHeight w:val="260"/>
        </w:trPr>
        <w:tc>
          <w:tcPr>
            <w:tcW w:w="2941" w:type="dxa"/>
            <w:tcBorders>
              <w:top w:val="nil"/>
              <w:left w:val="nil"/>
              <w:bottom w:val="nil"/>
              <w:right w:val="nil"/>
            </w:tcBorders>
            <w:shd w:val="clear" w:color="auto" w:fill="auto"/>
            <w:noWrap/>
            <w:vAlign w:val="center"/>
            <w:hideMark/>
          </w:tcPr>
          <w:p w14:paraId="5CA2DDD5"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Total Operating Expenses</w:t>
            </w:r>
          </w:p>
        </w:tc>
        <w:tc>
          <w:tcPr>
            <w:tcW w:w="1370" w:type="dxa"/>
            <w:tcBorders>
              <w:top w:val="single" w:sz="4" w:space="0" w:color="auto"/>
              <w:left w:val="nil"/>
              <w:bottom w:val="nil"/>
              <w:right w:val="nil"/>
            </w:tcBorders>
            <w:shd w:val="clear" w:color="auto" w:fill="auto"/>
            <w:noWrap/>
            <w:vAlign w:val="center"/>
            <w:hideMark/>
          </w:tcPr>
          <w:p w14:paraId="6F2519D4"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 xml:space="preserve">        19,718 </w:t>
            </w:r>
          </w:p>
        </w:tc>
        <w:tc>
          <w:tcPr>
            <w:tcW w:w="1370" w:type="dxa"/>
            <w:tcBorders>
              <w:top w:val="single" w:sz="4" w:space="0" w:color="auto"/>
              <w:left w:val="nil"/>
              <w:bottom w:val="nil"/>
              <w:right w:val="nil"/>
            </w:tcBorders>
            <w:shd w:val="clear" w:color="auto" w:fill="auto"/>
            <w:noWrap/>
            <w:vAlign w:val="center"/>
            <w:hideMark/>
          </w:tcPr>
          <w:p w14:paraId="7D5CD7F7"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 xml:space="preserve">        49,626 </w:t>
            </w:r>
          </w:p>
        </w:tc>
        <w:tc>
          <w:tcPr>
            <w:tcW w:w="1220" w:type="dxa"/>
            <w:tcBorders>
              <w:top w:val="nil"/>
              <w:left w:val="nil"/>
              <w:bottom w:val="nil"/>
              <w:right w:val="nil"/>
            </w:tcBorders>
            <w:shd w:val="clear" w:color="000000" w:fill="BFBFBF"/>
            <w:noWrap/>
            <w:vAlign w:val="center"/>
            <w:hideMark/>
          </w:tcPr>
          <w:p w14:paraId="6DD62BF8" w14:textId="77777777" w:rsidR="002817CC" w:rsidRPr="002817CC" w:rsidRDefault="002817CC" w:rsidP="002817CC">
            <w:pPr>
              <w:spacing w:after="0" w:line="240" w:lineRule="auto"/>
              <w:jc w:val="center"/>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-60%</w:t>
            </w:r>
          </w:p>
        </w:tc>
      </w:tr>
      <w:tr w:rsidR="002817CC" w:rsidRPr="002817CC" w14:paraId="5C2AF2BC" w14:textId="77777777" w:rsidTr="002817CC">
        <w:trPr>
          <w:trHeight w:val="250"/>
        </w:trPr>
        <w:tc>
          <w:tcPr>
            <w:tcW w:w="2941" w:type="dxa"/>
            <w:tcBorders>
              <w:top w:val="nil"/>
              <w:left w:val="nil"/>
              <w:bottom w:val="nil"/>
              <w:right w:val="nil"/>
            </w:tcBorders>
            <w:shd w:val="clear" w:color="auto" w:fill="auto"/>
            <w:noWrap/>
            <w:vAlign w:val="center"/>
            <w:hideMark/>
          </w:tcPr>
          <w:p w14:paraId="5AF92272" w14:textId="77777777" w:rsidR="002817CC" w:rsidRPr="002817CC" w:rsidRDefault="002817CC" w:rsidP="002817CC">
            <w:pPr>
              <w:spacing w:after="0" w:line="240" w:lineRule="auto"/>
              <w:jc w:val="center"/>
              <w:rPr>
                <w:rFonts w:ascii="Arial" w:eastAsia="Times New Roman" w:hAnsi="Arial" w:cs="Arial"/>
                <w:b/>
                <w:bCs/>
                <w:sz w:val="20"/>
                <w:szCs w:val="20"/>
                <w:lang w:eastAsia="en-AU"/>
              </w:rPr>
            </w:pPr>
          </w:p>
        </w:tc>
        <w:tc>
          <w:tcPr>
            <w:tcW w:w="1370" w:type="dxa"/>
            <w:tcBorders>
              <w:top w:val="nil"/>
              <w:left w:val="nil"/>
              <w:bottom w:val="nil"/>
              <w:right w:val="nil"/>
            </w:tcBorders>
            <w:shd w:val="clear" w:color="auto" w:fill="auto"/>
            <w:noWrap/>
            <w:vAlign w:val="center"/>
            <w:hideMark/>
          </w:tcPr>
          <w:p w14:paraId="22AB5B50"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370" w:type="dxa"/>
            <w:tcBorders>
              <w:top w:val="nil"/>
              <w:left w:val="nil"/>
              <w:bottom w:val="nil"/>
              <w:right w:val="nil"/>
            </w:tcBorders>
            <w:shd w:val="clear" w:color="auto" w:fill="auto"/>
            <w:noWrap/>
            <w:vAlign w:val="center"/>
            <w:hideMark/>
          </w:tcPr>
          <w:p w14:paraId="22DAD51F"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220" w:type="dxa"/>
            <w:tcBorders>
              <w:top w:val="nil"/>
              <w:left w:val="nil"/>
              <w:bottom w:val="nil"/>
              <w:right w:val="nil"/>
            </w:tcBorders>
            <w:shd w:val="clear" w:color="000000" w:fill="BFBFBF"/>
            <w:noWrap/>
            <w:vAlign w:val="center"/>
            <w:hideMark/>
          </w:tcPr>
          <w:p w14:paraId="402EBD8F"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 </w:t>
            </w:r>
          </w:p>
        </w:tc>
      </w:tr>
      <w:tr w:rsidR="002817CC" w:rsidRPr="002817CC" w14:paraId="75E66D9E" w14:textId="77777777" w:rsidTr="002817CC">
        <w:trPr>
          <w:trHeight w:val="250"/>
        </w:trPr>
        <w:tc>
          <w:tcPr>
            <w:tcW w:w="2941" w:type="dxa"/>
            <w:tcBorders>
              <w:top w:val="nil"/>
              <w:left w:val="nil"/>
              <w:bottom w:val="nil"/>
              <w:right w:val="nil"/>
            </w:tcBorders>
            <w:shd w:val="clear" w:color="auto" w:fill="auto"/>
            <w:noWrap/>
            <w:vAlign w:val="center"/>
            <w:hideMark/>
          </w:tcPr>
          <w:p w14:paraId="76AF03B0"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Non-operating Expenses</w:t>
            </w:r>
          </w:p>
        </w:tc>
        <w:tc>
          <w:tcPr>
            <w:tcW w:w="1370" w:type="dxa"/>
            <w:tcBorders>
              <w:top w:val="nil"/>
              <w:left w:val="nil"/>
              <w:bottom w:val="nil"/>
              <w:right w:val="nil"/>
            </w:tcBorders>
            <w:shd w:val="clear" w:color="auto" w:fill="auto"/>
            <w:noWrap/>
            <w:vAlign w:val="center"/>
            <w:hideMark/>
          </w:tcPr>
          <w:p w14:paraId="332D7EA2" w14:textId="77777777" w:rsidR="002817CC" w:rsidRPr="002817CC" w:rsidRDefault="002817CC" w:rsidP="002817CC">
            <w:pPr>
              <w:spacing w:after="0" w:line="240" w:lineRule="auto"/>
              <w:rPr>
                <w:rFonts w:ascii="Arial" w:eastAsia="Times New Roman" w:hAnsi="Arial" w:cs="Arial"/>
                <w:sz w:val="20"/>
                <w:szCs w:val="20"/>
                <w:lang w:eastAsia="en-AU"/>
              </w:rPr>
            </w:pPr>
            <w:r w:rsidRPr="002817CC">
              <w:rPr>
                <w:rFonts w:ascii="Arial" w:eastAsia="Times New Roman" w:hAnsi="Arial" w:cs="Arial"/>
                <w:sz w:val="20"/>
                <w:szCs w:val="20"/>
                <w:lang w:eastAsia="en-AU"/>
              </w:rPr>
              <w:t xml:space="preserve">               -   </w:t>
            </w:r>
          </w:p>
        </w:tc>
        <w:tc>
          <w:tcPr>
            <w:tcW w:w="1370" w:type="dxa"/>
            <w:tcBorders>
              <w:top w:val="nil"/>
              <w:left w:val="nil"/>
              <w:bottom w:val="nil"/>
              <w:right w:val="nil"/>
            </w:tcBorders>
            <w:shd w:val="clear" w:color="auto" w:fill="auto"/>
            <w:noWrap/>
            <w:vAlign w:val="center"/>
            <w:hideMark/>
          </w:tcPr>
          <w:p w14:paraId="735FE4E4" w14:textId="77777777" w:rsidR="002817CC" w:rsidRPr="002817CC" w:rsidRDefault="002817CC" w:rsidP="002817CC">
            <w:pPr>
              <w:spacing w:after="0" w:line="240" w:lineRule="auto"/>
              <w:rPr>
                <w:rFonts w:ascii="Arial" w:eastAsia="Times New Roman" w:hAnsi="Arial" w:cs="Arial"/>
                <w:sz w:val="20"/>
                <w:szCs w:val="20"/>
                <w:lang w:eastAsia="en-AU"/>
              </w:rPr>
            </w:pPr>
          </w:p>
        </w:tc>
        <w:tc>
          <w:tcPr>
            <w:tcW w:w="1220" w:type="dxa"/>
            <w:tcBorders>
              <w:top w:val="nil"/>
              <w:left w:val="nil"/>
              <w:bottom w:val="nil"/>
              <w:right w:val="nil"/>
            </w:tcBorders>
            <w:shd w:val="clear" w:color="000000" w:fill="BFBFBF"/>
            <w:noWrap/>
            <w:vAlign w:val="center"/>
            <w:hideMark/>
          </w:tcPr>
          <w:p w14:paraId="40DCE914"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 </w:t>
            </w:r>
          </w:p>
        </w:tc>
      </w:tr>
      <w:tr w:rsidR="002817CC" w:rsidRPr="002817CC" w14:paraId="287168BB" w14:textId="77777777" w:rsidTr="002817CC">
        <w:trPr>
          <w:trHeight w:val="250"/>
        </w:trPr>
        <w:tc>
          <w:tcPr>
            <w:tcW w:w="2941" w:type="dxa"/>
            <w:tcBorders>
              <w:top w:val="nil"/>
              <w:left w:val="nil"/>
              <w:bottom w:val="nil"/>
              <w:right w:val="nil"/>
            </w:tcBorders>
            <w:shd w:val="clear" w:color="auto" w:fill="auto"/>
            <w:noWrap/>
            <w:vAlign w:val="center"/>
            <w:hideMark/>
          </w:tcPr>
          <w:p w14:paraId="24083FEF" w14:textId="77777777" w:rsidR="002817CC" w:rsidRPr="002817CC" w:rsidRDefault="002817CC" w:rsidP="002817CC">
            <w:pPr>
              <w:spacing w:after="0" w:line="240" w:lineRule="auto"/>
              <w:jc w:val="center"/>
              <w:rPr>
                <w:rFonts w:ascii="Arial" w:eastAsia="Times New Roman" w:hAnsi="Arial" w:cs="Arial"/>
                <w:sz w:val="20"/>
                <w:szCs w:val="20"/>
                <w:lang w:eastAsia="en-AU"/>
              </w:rPr>
            </w:pPr>
          </w:p>
        </w:tc>
        <w:tc>
          <w:tcPr>
            <w:tcW w:w="1370" w:type="dxa"/>
            <w:tcBorders>
              <w:top w:val="nil"/>
              <w:left w:val="nil"/>
              <w:bottom w:val="nil"/>
              <w:right w:val="nil"/>
            </w:tcBorders>
            <w:shd w:val="clear" w:color="auto" w:fill="auto"/>
            <w:noWrap/>
            <w:vAlign w:val="center"/>
            <w:hideMark/>
          </w:tcPr>
          <w:p w14:paraId="6B897F46"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370" w:type="dxa"/>
            <w:tcBorders>
              <w:top w:val="nil"/>
              <w:left w:val="nil"/>
              <w:bottom w:val="nil"/>
              <w:right w:val="nil"/>
            </w:tcBorders>
            <w:shd w:val="clear" w:color="auto" w:fill="auto"/>
            <w:noWrap/>
            <w:vAlign w:val="center"/>
            <w:hideMark/>
          </w:tcPr>
          <w:p w14:paraId="14E49D43" w14:textId="77777777" w:rsidR="002817CC" w:rsidRPr="002817CC" w:rsidRDefault="002817CC" w:rsidP="002817CC">
            <w:pPr>
              <w:spacing w:after="0" w:line="240" w:lineRule="auto"/>
              <w:rPr>
                <w:rFonts w:ascii="Times New Roman" w:eastAsia="Times New Roman" w:hAnsi="Times New Roman" w:cs="Times New Roman"/>
                <w:sz w:val="20"/>
                <w:szCs w:val="20"/>
                <w:lang w:eastAsia="en-AU"/>
              </w:rPr>
            </w:pPr>
          </w:p>
        </w:tc>
        <w:tc>
          <w:tcPr>
            <w:tcW w:w="1220" w:type="dxa"/>
            <w:tcBorders>
              <w:top w:val="nil"/>
              <w:left w:val="nil"/>
              <w:bottom w:val="nil"/>
              <w:right w:val="nil"/>
            </w:tcBorders>
            <w:shd w:val="clear" w:color="000000" w:fill="BFBFBF"/>
            <w:noWrap/>
            <w:vAlign w:val="center"/>
            <w:hideMark/>
          </w:tcPr>
          <w:p w14:paraId="2171DE7F" w14:textId="77777777" w:rsidR="002817CC" w:rsidRPr="002817CC" w:rsidRDefault="002817CC" w:rsidP="002817CC">
            <w:pPr>
              <w:spacing w:after="0" w:line="240" w:lineRule="auto"/>
              <w:jc w:val="center"/>
              <w:rPr>
                <w:rFonts w:ascii="Arial" w:eastAsia="Times New Roman" w:hAnsi="Arial" w:cs="Arial"/>
                <w:sz w:val="20"/>
                <w:szCs w:val="20"/>
                <w:lang w:eastAsia="en-AU"/>
              </w:rPr>
            </w:pPr>
            <w:r w:rsidRPr="002817CC">
              <w:rPr>
                <w:rFonts w:ascii="Arial" w:eastAsia="Times New Roman" w:hAnsi="Arial" w:cs="Arial"/>
                <w:sz w:val="20"/>
                <w:szCs w:val="20"/>
                <w:lang w:eastAsia="en-AU"/>
              </w:rPr>
              <w:t> </w:t>
            </w:r>
          </w:p>
        </w:tc>
      </w:tr>
      <w:tr w:rsidR="002817CC" w:rsidRPr="002817CC" w14:paraId="25AB7377" w14:textId="77777777" w:rsidTr="002817CC">
        <w:trPr>
          <w:trHeight w:val="260"/>
        </w:trPr>
        <w:tc>
          <w:tcPr>
            <w:tcW w:w="2941" w:type="dxa"/>
            <w:tcBorders>
              <w:top w:val="nil"/>
              <w:left w:val="nil"/>
              <w:bottom w:val="nil"/>
              <w:right w:val="nil"/>
            </w:tcBorders>
            <w:shd w:val="clear" w:color="auto" w:fill="auto"/>
            <w:noWrap/>
            <w:vAlign w:val="center"/>
            <w:hideMark/>
          </w:tcPr>
          <w:p w14:paraId="21CBA96C"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Net Profit</w:t>
            </w:r>
          </w:p>
        </w:tc>
        <w:tc>
          <w:tcPr>
            <w:tcW w:w="1370" w:type="dxa"/>
            <w:tcBorders>
              <w:top w:val="single" w:sz="4" w:space="0" w:color="auto"/>
              <w:left w:val="nil"/>
              <w:bottom w:val="single" w:sz="4" w:space="0" w:color="auto"/>
              <w:right w:val="nil"/>
            </w:tcBorders>
            <w:shd w:val="clear" w:color="auto" w:fill="auto"/>
            <w:noWrap/>
            <w:vAlign w:val="center"/>
            <w:hideMark/>
          </w:tcPr>
          <w:p w14:paraId="1D2F65C2"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 xml:space="preserve">        35,527 </w:t>
            </w:r>
          </w:p>
        </w:tc>
        <w:tc>
          <w:tcPr>
            <w:tcW w:w="1370" w:type="dxa"/>
            <w:tcBorders>
              <w:top w:val="single" w:sz="4" w:space="0" w:color="auto"/>
              <w:left w:val="nil"/>
              <w:bottom w:val="single" w:sz="4" w:space="0" w:color="auto"/>
              <w:right w:val="nil"/>
            </w:tcBorders>
            <w:shd w:val="clear" w:color="auto" w:fill="auto"/>
            <w:noWrap/>
            <w:vAlign w:val="center"/>
            <w:hideMark/>
          </w:tcPr>
          <w:p w14:paraId="3E5F8EEE" w14:textId="77777777" w:rsidR="002817CC" w:rsidRPr="002817CC" w:rsidRDefault="002817CC" w:rsidP="002817CC">
            <w:pPr>
              <w:spacing w:after="0" w:line="240" w:lineRule="auto"/>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 xml:space="preserve">     (12,742) </w:t>
            </w:r>
          </w:p>
        </w:tc>
        <w:tc>
          <w:tcPr>
            <w:tcW w:w="1220" w:type="dxa"/>
            <w:tcBorders>
              <w:top w:val="nil"/>
              <w:left w:val="nil"/>
              <w:bottom w:val="nil"/>
              <w:right w:val="nil"/>
            </w:tcBorders>
            <w:shd w:val="clear" w:color="000000" w:fill="BFBFBF"/>
            <w:noWrap/>
            <w:vAlign w:val="center"/>
            <w:hideMark/>
          </w:tcPr>
          <w:p w14:paraId="72FB16ED" w14:textId="77777777" w:rsidR="002817CC" w:rsidRPr="002817CC" w:rsidRDefault="002817CC" w:rsidP="002817CC">
            <w:pPr>
              <w:spacing w:after="0" w:line="240" w:lineRule="auto"/>
              <w:jc w:val="center"/>
              <w:rPr>
                <w:rFonts w:ascii="Arial" w:eastAsia="Times New Roman" w:hAnsi="Arial" w:cs="Arial"/>
                <w:b/>
                <w:bCs/>
                <w:sz w:val="20"/>
                <w:szCs w:val="20"/>
                <w:lang w:eastAsia="en-AU"/>
              </w:rPr>
            </w:pPr>
            <w:r w:rsidRPr="002817CC">
              <w:rPr>
                <w:rFonts w:ascii="Arial" w:eastAsia="Times New Roman" w:hAnsi="Arial" w:cs="Arial"/>
                <w:b/>
                <w:bCs/>
                <w:sz w:val="20"/>
                <w:szCs w:val="20"/>
                <w:lang w:eastAsia="en-AU"/>
              </w:rPr>
              <w:t>-379%</w:t>
            </w:r>
          </w:p>
        </w:tc>
      </w:tr>
    </w:tbl>
    <w:p w14:paraId="741C1324" w14:textId="77777777" w:rsidR="002817CC" w:rsidRDefault="002817CC">
      <w:pPr>
        <w:rPr>
          <w:rFonts w:ascii="Arial" w:hAnsi="Arial" w:cs="Arial"/>
          <w:sz w:val="20"/>
          <w:szCs w:val="20"/>
        </w:rPr>
      </w:pPr>
    </w:p>
    <w:p w14:paraId="5626834E" w14:textId="11B78A01" w:rsidR="00192878" w:rsidRPr="003432F2" w:rsidRDefault="00192878">
      <w:pPr>
        <w:rPr>
          <w:rFonts w:ascii="Arial" w:hAnsi="Arial" w:cs="Arial"/>
          <w:sz w:val="20"/>
          <w:szCs w:val="20"/>
        </w:rPr>
      </w:pPr>
      <w:r w:rsidRPr="003432F2">
        <w:rPr>
          <w:rFonts w:ascii="Arial" w:hAnsi="Arial" w:cs="Arial"/>
          <w:sz w:val="20"/>
          <w:szCs w:val="20"/>
        </w:rPr>
        <w:t xml:space="preserve">There are a number of </w:t>
      </w:r>
      <w:r w:rsidR="002817CC">
        <w:rPr>
          <w:rFonts w:ascii="Arial" w:hAnsi="Arial" w:cs="Arial"/>
          <w:sz w:val="20"/>
          <w:szCs w:val="20"/>
        </w:rPr>
        <w:t>improvements made at the store level which have contributed to this</w:t>
      </w:r>
      <w:r w:rsidRPr="003432F2">
        <w:rPr>
          <w:rFonts w:ascii="Arial" w:hAnsi="Arial" w:cs="Arial"/>
          <w:sz w:val="20"/>
          <w:szCs w:val="20"/>
        </w:rPr>
        <w:t>, including:</w:t>
      </w:r>
    </w:p>
    <w:p w14:paraId="1D4DACE5" w14:textId="2E3FA95B" w:rsidR="00192878" w:rsidRPr="003432F2" w:rsidRDefault="00192878" w:rsidP="00192878">
      <w:pPr>
        <w:pStyle w:val="ListParagraph"/>
        <w:numPr>
          <w:ilvl w:val="0"/>
          <w:numId w:val="1"/>
        </w:numPr>
        <w:rPr>
          <w:rFonts w:ascii="Arial" w:hAnsi="Arial" w:cs="Arial"/>
          <w:sz w:val="20"/>
          <w:szCs w:val="20"/>
        </w:rPr>
      </w:pPr>
      <w:r w:rsidRPr="003432F2">
        <w:rPr>
          <w:rFonts w:ascii="Arial" w:hAnsi="Arial" w:cs="Arial"/>
          <w:sz w:val="20"/>
          <w:szCs w:val="20"/>
        </w:rPr>
        <w:t xml:space="preserve">Restricted purchasing – staff had been given a mandate to run down existing stock throughout January, and were provided with a strict purchasing budget. </w:t>
      </w:r>
      <w:r w:rsidR="002817CC">
        <w:rPr>
          <w:rFonts w:ascii="Arial" w:hAnsi="Arial" w:cs="Arial"/>
          <w:sz w:val="20"/>
          <w:szCs w:val="20"/>
        </w:rPr>
        <w:t xml:space="preserve">The store purchasing is currently limited to $5,500 for groceries, and $3,500 for produce. </w:t>
      </w:r>
    </w:p>
    <w:p w14:paraId="08094842" w14:textId="68C98A32" w:rsidR="00192878" w:rsidRPr="003432F2" w:rsidRDefault="00192878" w:rsidP="00192878">
      <w:pPr>
        <w:pStyle w:val="ListParagraph"/>
        <w:numPr>
          <w:ilvl w:val="0"/>
          <w:numId w:val="1"/>
        </w:numPr>
        <w:rPr>
          <w:rFonts w:ascii="Arial" w:hAnsi="Arial" w:cs="Arial"/>
          <w:sz w:val="20"/>
          <w:szCs w:val="20"/>
        </w:rPr>
      </w:pPr>
      <w:r w:rsidRPr="003432F2">
        <w:rPr>
          <w:rFonts w:ascii="Arial" w:hAnsi="Arial" w:cs="Arial"/>
          <w:sz w:val="20"/>
          <w:szCs w:val="20"/>
        </w:rPr>
        <w:t xml:space="preserve">Staffing – with the departure of the store manager, Allie, and her 2IC, Janet, there was a natural attrition from a human resourcing perspective. Ran and Carina have taken over the managerial duties seem to be keeping things on track. </w:t>
      </w:r>
      <w:r w:rsidR="002817CC">
        <w:rPr>
          <w:rFonts w:ascii="Arial" w:hAnsi="Arial" w:cs="Arial"/>
          <w:sz w:val="20"/>
          <w:szCs w:val="20"/>
        </w:rPr>
        <w:t xml:space="preserve">Wage increases aside, the existing staff structure provide cost reductions of approx.. $5,000 per pay cycle, or $10,000 per month when compared to previous months in FY21. </w:t>
      </w:r>
    </w:p>
    <w:p w14:paraId="0DD9AFEC" w14:textId="5A971240" w:rsidR="00192878" w:rsidRPr="003432F2" w:rsidRDefault="00192878" w:rsidP="00192878">
      <w:pPr>
        <w:pStyle w:val="ListParagraph"/>
        <w:numPr>
          <w:ilvl w:val="0"/>
          <w:numId w:val="1"/>
        </w:numPr>
        <w:rPr>
          <w:rFonts w:ascii="Arial" w:hAnsi="Arial" w:cs="Arial"/>
          <w:sz w:val="20"/>
          <w:szCs w:val="20"/>
        </w:rPr>
      </w:pPr>
      <w:r w:rsidRPr="003432F2">
        <w:rPr>
          <w:rFonts w:ascii="Arial" w:hAnsi="Arial" w:cs="Arial"/>
          <w:sz w:val="20"/>
          <w:szCs w:val="20"/>
        </w:rPr>
        <w:t xml:space="preserve">Subscription fees and donations – member subscription fees and donations continue to roll in since the 11 January email which contained AH bank details. At </w:t>
      </w:r>
      <w:r w:rsidR="002817CC">
        <w:rPr>
          <w:rFonts w:ascii="Arial" w:hAnsi="Arial" w:cs="Arial"/>
          <w:sz w:val="20"/>
          <w:szCs w:val="20"/>
        </w:rPr>
        <w:t>the end of January</w:t>
      </w:r>
      <w:r w:rsidRPr="003432F2">
        <w:rPr>
          <w:rFonts w:ascii="Arial" w:hAnsi="Arial" w:cs="Arial"/>
          <w:sz w:val="20"/>
          <w:szCs w:val="20"/>
        </w:rPr>
        <w:t>, AH had collected $</w:t>
      </w:r>
      <w:r w:rsidR="002817CC">
        <w:rPr>
          <w:rFonts w:ascii="Arial" w:hAnsi="Arial" w:cs="Arial"/>
          <w:sz w:val="20"/>
          <w:szCs w:val="20"/>
        </w:rPr>
        <w:t>4,548</w:t>
      </w:r>
      <w:r w:rsidRPr="003432F2">
        <w:rPr>
          <w:rFonts w:ascii="Arial" w:hAnsi="Arial" w:cs="Arial"/>
          <w:sz w:val="20"/>
          <w:szCs w:val="20"/>
        </w:rPr>
        <w:t xml:space="preserve"> in subscription fees, and $</w:t>
      </w:r>
      <w:r w:rsidR="002817CC">
        <w:rPr>
          <w:rFonts w:ascii="Arial" w:hAnsi="Arial" w:cs="Arial"/>
          <w:sz w:val="20"/>
          <w:szCs w:val="20"/>
        </w:rPr>
        <w:t>8,740</w:t>
      </w:r>
      <w:r w:rsidRPr="003432F2">
        <w:rPr>
          <w:rFonts w:ascii="Arial" w:hAnsi="Arial" w:cs="Arial"/>
          <w:sz w:val="20"/>
          <w:szCs w:val="20"/>
        </w:rPr>
        <w:t xml:space="preserve"> in donations. </w:t>
      </w:r>
    </w:p>
    <w:p w14:paraId="7CA2ADC2" w14:textId="0CB16FE8" w:rsidR="002817CC" w:rsidRDefault="002817CC" w:rsidP="006918EF">
      <w:pPr>
        <w:rPr>
          <w:rFonts w:ascii="Arial" w:hAnsi="Arial" w:cs="Arial"/>
          <w:sz w:val="20"/>
          <w:szCs w:val="20"/>
        </w:rPr>
      </w:pPr>
    </w:p>
    <w:p w14:paraId="0E1ECFDB" w14:textId="22113B29" w:rsidR="002817CC" w:rsidRDefault="002817CC" w:rsidP="006918EF">
      <w:pPr>
        <w:rPr>
          <w:rFonts w:ascii="Arial" w:hAnsi="Arial" w:cs="Arial"/>
          <w:sz w:val="20"/>
          <w:szCs w:val="20"/>
        </w:rPr>
      </w:pPr>
      <w:r>
        <w:rPr>
          <w:rFonts w:ascii="Arial" w:hAnsi="Arial" w:cs="Arial"/>
          <w:sz w:val="20"/>
          <w:szCs w:val="20"/>
        </w:rPr>
        <w:t xml:space="preserve">Despite the good trading results in January, the Co-op is not out of the woods yet. Recent trading figures show a steep decline in the sales at the store level in recent weeks. The chart below sets out the daily trading figures for 2021 so far. </w:t>
      </w:r>
    </w:p>
    <w:p w14:paraId="0A174CB2" w14:textId="7DB1A1D1" w:rsidR="002817CC" w:rsidRPr="003432F2" w:rsidRDefault="002817CC" w:rsidP="006918EF">
      <w:pPr>
        <w:rPr>
          <w:rFonts w:ascii="Arial" w:hAnsi="Arial" w:cs="Arial"/>
          <w:sz w:val="20"/>
          <w:szCs w:val="20"/>
        </w:rPr>
      </w:pPr>
      <w:r>
        <w:rPr>
          <w:noProof/>
        </w:rPr>
        <w:lastRenderedPageBreak/>
        <w:drawing>
          <wp:inline distT="0" distB="0" distL="0" distR="0" wp14:anchorId="2299C41E" wp14:editId="07FFE7A0">
            <wp:extent cx="5632450" cy="2514600"/>
            <wp:effectExtent l="0" t="0" r="6350" b="0"/>
            <wp:docPr id="1" name="Chart 1">
              <a:extLst xmlns:a="http://schemas.openxmlformats.org/drawingml/2006/main">
                <a:ext uri="{FF2B5EF4-FFF2-40B4-BE49-F238E27FC236}">
                  <a16:creationId xmlns:a16="http://schemas.microsoft.com/office/drawing/2014/main" id="{C001D560-711B-4D7A-9A25-00A827B8AD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8A89954" w14:textId="545F1932" w:rsidR="006918EF" w:rsidRDefault="006918EF" w:rsidP="006918EF">
      <w:pPr>
        <w:rPr>
          <w:rFonts w:ascii="Arial" w:hAnsi="Arial" w:cs="Arial"/>
          <w:sz w:val="20"/>
          <w:szCs w:val="20"/>
        </w:rPr>
      </w:pPr>
    </w:p>
    <w:p w14:paraId="5F567099" w14:textId="383087D5" w:rsidR="002817CC" w:rsidRDefault="002817CC" w:rsidP="006918EF">
      <w:pPr>
        <w:rPr>
          <w:rFonts w:ascii="Arial" w:hAnsi="Arial" w:cs="Arial"/>
          <w:sz w:val="20"/>
          <w:szCs w:val="20"/>
        </w:rPr>
      </w:pPr>
      <w:r>
        <w:rPr>
          <w:rFonts w:ascii="Arial" w:hAnsi="Arial" w:cs="Arial"/>
          <w:sz w:val="20"/>
          <w:szCs w:val="20"/>
        </w:rPr>
        <w:t>As you can see from the chart, there has been a significant drop in daily sales over the last few weeks. The above data was taken from the POS system, and there is no distinct reasoning for the drop in sales. However, having been in and around the Co-op for a few weeks, there are two main issues which are contributing to this:</w:t>
      </w:r>
    </w:p>
    <w:p w14:paraId="68749E7D" w14:textId="2FE85844" w:rsidR="002817CC" w:rsidRDefault="002817CC" w:rsidP="002817CC">
      <w:pPr>
        <w:pStyle w:val="ListParagraph"/>
        <w:numPr>
          <w:ilvl w:val="0"/>
          <w:numId w:val="5"/>
        </w:numPr>
        <w:rPr>
          <w:rFonts w:ascii="Arial" w:hAnsi="Arial" w:cs="Arial"/>
          <w:sz w:val="20"/>
          <w:szCs w:val="20"/>
        </w:rPr>
      </w:pPr>
      <w:r>
        <w:rPr>
          <w:rFonts w:ascii="Arial" w:hAnsi="Arial" w:cs="Arial"/>
          <w:sz w:val="20"/>
          <w:szCs w:val="20"/>
        </w:rPr>
        <w:t xml:space="preserve">Communication with members – lack of certainty around whether AH is still open. We need to address this issue as a matter of priority. </w:t>
      </w:r>
    </w:p>
    <w:p w14:paraId="7F8F029E" w14:textId="7A1C6C17" w:rsidR="002817CC" w:rsidRDefault="002817CC" w:rsidP="002817CC">
      <w:pPr>
        <w:pStyle w:val="ListParagraph"/>
        <w:numPr>
          <w:ilvl w:val="0"/>
          <w:numId w:val="5"/>
        </w:numPr>
        <w:rPr>
          <w:rFonts w:ascii="Arial" w:hAnsi="Arial" w:cs="Arial"/>
          <w:sz w:val="20"/>
          <w:szCs w:val="20"/>
        </w:rPr>
      </w:pPr>
      <w:r>
        <w:rPr>
          <w:rFonts w:ascii="Arial" w:hAnsi="Arial" w:cs="Arial"/>
          <w:sz w:val="20"/>
          <w:szCs w:val="20"/>
        </w:rPr>
        <w:t xml:space="preserve">Staff morale – there is very low morale with the staff and I’m sure this is being communicated (either explicitly or implicitly) to the members when they are shopping. Too often I am seeing emails from staff members about issues which are not within their job roles, instead of focusing on running the store. And the same staff members complaining they don’t have enough time to do everything. We need to address this issue immediately. </w:t>
      </w:r>
    </w:p>
    <w:p w14:paraId="2F6B9AB4" w14:textId="779C5491" w:rsidR="002817CC" w:rsidRPr="002817CC" w:rsidRDefault="002817CC" w:rsidP="002817CC">
      <w:pPr>
        <w:rPr>
          <w:rFonts w:ascii="Arial" w:hAnsi="Arial" w:cs="Arial"/>
          <w:b/>
          <w:bCs/>
          <w:sz w:val="20"/>
          <w:szCs w:val="20"/>
        </w:rPr>
      </w:pPr>
      <w:r w:rsidRPr="002817CC">
        <w:rPr>
          <w:rFonts w:ascii="Arial" w:hAnsi="Arial" w:cs="Arial"/>
          <w:b/>
          <w:bCs/>
          <w:sz w:val="20"/>
          <w:szCs w:val="20"/>
        </w:rPr>
        <w:t xml:space="preserve">Budget for 2021 </w:t>
      </w:r>
    </w:p>
    <w:p w14:paraId="1A8C2A7F" w14:textId="4A08EECC" w:rsidR="00E7440F" w:rsidRPr="003432F2" w:rsidRDefault="002817CC" w:rsidP="006918EF">
      <w:pPr>
        <w:rPr>
          <w:rFonts w:ascii="Arial" w:hAnsi="Arial" w:cs="Arial"/>
          <w:sz w:val="20"/>
          <w:szCs w:val="20"/>
        </w:rPr>
      </w:pPr>
      <w:r>
        <w:rPr>
          <w:rFonts w:ascii="Arial" w:hAnsi="Arial" w:cs="Arial"/>
          <w:sz w:val="20"/>
          <w:szCs w:val="20"/>
        </w:rPr>
        <w:t xml:space="preserve">In light of the current situation with the landlord, I have prepared a budget for the rest of calendar year 2021 (circulated as separate excel document). </w:t>
      </w:r>
    </w:p>
    <w:p w14:paraId="72B51A92" w14:textId="4240B475" w:rsidR="00E7440F" w:rsidRPr="003432F2" w:rsidRDefault="00E7440F" w:rsidP="006918EF">
      <w:pPr>
        <w:rPr>
          <w:rFonts w:ascii="Arial" w:hAnsi="Arial" w:cs="Arial"/>
          <w:sz w:val="20"/>
          <w:szCs w:val="20"/>
        </w:rPr>
      </w:pPr>
      <w:r w:rsidRPr="003432F2">
        <w:rPr>
          <w:rFonts w:ascii="Arial" w:hAnsi="Arial" w:cs="Arial"/>
          <w:sz w:val="20"/>
          <w:szCs w:val="20"/>
        </w:rPr>
        <w:t xml:space="preserve">Forecasting </w:t>
      </w:r>
      <w:r w:rsidR="009F51A9" w:rsidRPr="003432F2">
        <w:rPr>
          <w:rFonts w:ascii="Arial" w:hAnsi="Arial" w:cs="Arial"/>
          <w:sz w:val="20"/>
          <w:szCs w:val="20"/>
        </w:rPr>
        <w:t>P&amp;L is a bit of a science, and there is always inherent risk with forward-looking projections. In preparing the above analysis, I have made several key assumptions, including:</w:t>
      </w:r>
    </w:p>
    <w:p w14:paraId="500A1384" w14:textId="59CA46B7" w:rsidR="00C14E13" w:rsidRDefault="009F51A9" w:rsidP="002817CC">
      <w:pPr>
        <w:pStyle w:val="ListParagraph"/>
        <w:numPr>
          <w:ilvl w:val="0"/>
          <w:numId w:val="3"/>
        </w:numPr>
        <w:rPr>
          <w:rFonts w:ascii="Arial" w:hAnsi="Arial" w:cs="Arial"/>
          <w:sz w:val="20"/>
          <w:szCs w:val="20"/>
        </w:rPr>
      </w:pPr>
      <w:r w:rsidRPr="003432F2">
        <w:rPr>
          <w:rFonts w:ascii="Arial" w:hAnsi="Arial" w:cs="Arial"/>
          <w:sz w:val="20"/>
          <w:szCs w:val="20"/>
        </w:rPr>
        <w:t xml:space="preserve">Shop trading has been forecast </w:t>
      </w:r>
      <w:r w:rsidR="002817CC">
        <w:rPr>
          <w:rFonts w:ascii="Arial" w:hAnsi="Arial" w:cs="Arial"/>
          <w:sz w:val="20"/>
          <w:szCs w:val="20"/>
        </w:rPr>
        <w:t xml:space="preserve">on the basis of $80,000 per month, with the exception of February, which is tracking closer to $70,000. The reduced sales forecast is based on the recent downward trend of daily sales. </w:t>
      </w:r>
    </w:p>
    <w:p w14:paraId="4007B778" w14:textId="56A112F8" w:rsidR="002817CC" w:rsidRDefault="002817CC" w:rsidP="002817CC">
      <w:pPr>
        <w:pStyle w:val="ListParagraph"/>
        <w:numPr>
          <w:ilvl w:val="0"/>
          <w:numId w:val="3"/>
        </w:numPr>
        <w:rPr>
          <w:rFonts w:ascii="Arial" w:hAnsi="Arial" w:cs="Arial"/>
          <w:sz w:val="20"/>
          <w:szCs w:val="20"/>
        </w:rPr>
      </w:pPr>
      <w:r>
        <w:rPr>
          <w:rFonts w:ascii="Arial" w:hAnsi="Arial" w:cs="Arial"/>
          <w:sz w:val="20"/>
          <w:szCs w:val="20"/>
        </w:rPr>
        <w:t xml:space="preserve">Other income includes subscriptions and donations from members. I have estimated $4,000 for the month of February with no subscriptions or donations thereafter. </w:t>
      </w:r>
    </w:p>
    <w:p w14:paraId="7C618B88" w14:textId="04B8EA0B" w:rsidR="002817CC" w:rsidRDefault="002817CC" w:rsidP="002817CC">
      <w:pPr>
        <w:pStyle w:val="ListParagraph"/>
        <w:numPr>
          <w:ilvl w:val="0"/>
          <w:numId w:val="3"/>
        </w:numPr>
        <w:rPr>
          <w:rFonts w:ascii="Arial" w:hAnsi="Arial" w:cs="Arial"/>
          <w:sz w:val="20"/>
          <w:szCs w:val="20"/>
        </w:rPr>
      </w:pPr>
      <w:r>
        <w:rPr>
          <w:rFonts w:ascii="Arial" w:hAnsi="Arial" w:cs="Arial"/>
          <w:sz w:val="20"/>
          <w:szCs w:val="20"/>
        </w:rPr>
        <w:t xml:space="preserve">Cost of sales have been forecast as $9,000 weekly for February and March (current purchases budget), and reverting to $11,000 per week for the remaining months. </w:t>
      </w:r>
    </w:p>
    <w:p w14:paraId="44F765BD" w14:textId="5D062A63" w:rsidR="002817CC" w:rsidRDefault="002817CC" w:rsidP="002817CC">
      <w:pPr>
        <w:pStyle w:val="ListParagraph"/>
        <w:numPr>
          <w:ilvl w:val="0"/>
          <w:numId w:val="3"/>
        </w:numPr>
        <w:rPr>
          <w:rFonts w:ascii="Arial" w:hAnsi="Arial" w:cs="Arial"/>
          <w:sz w:val="20"/>
          <w:szCs w:val="20"/>
        </w:rPr>
      </w:pPr>
      <w:r>
        <w:rPr>
          <w:rFonts w:ascii="Arial" w:hAnsi="Arial" w:cs="Arial"/>
          <w:sz w:val="20"/>
          <w:szCs w:val="20"/>
        </w:rPr>
        <w:t>Administrative expenses are capped at $3,000 per month for the rest of the year.</w:t>
      </w:r>
      <w:r w:rsidR="00D574D9">
        <w:rPr>
          <w:rFonts w:ascii="Arial" w:hAnsi="Arial" w:cs="Arial"/>
          <w:sz w:val="20"/>
          <w:szCs w:val="20"/>
        </w:rPr>
        <w:t xml:space="preserve"> I have added $4,000 in September for accounting fees. </w:t>
      </w:r>
    </w:p>
    <w:p w14:paraId="03E08D84" w14:textId="15677E3B" w:rsidR="002817CC" w:rsidRDefault="002817CC" w:rsidP="002817CC">
      <w:pPr>
        <w:pStyle w:val="ListParagraph"/>
        <w:numPr>
          <w:ilvl w:val="0"/>
          <w:numId w:val="3"/>
        </w:numPr>
        <w:rPr>
          <w:rFonts w:ascii="Arial" w:hAnsi="Arial" w:cs="Arial"/>
          <w:sz w:val="20"/>
          <w:szCs w:val="20"/>
        </w:rPr>
      </w:pPr>
      <w:r>
        <w:rPr>
          <w:rFonts w:ascii="Arial" w:hAnsi="Arial" w:cs="Arial"/>
          <w:sz w:val="20"/>
          <w:szCs w:val="20"/>
        </w:rPr>
        <w:t xml:space="preserve">Staff rosters and wages are expected to stay the same until the end of March. I have increased the fortnightly wage amount to reflect an increase in pay for Ran and Carina. From April onwards, I have included an additional $2,100 gross pay to each wages run to reflect the likely hiring of a store manager. </w:t>
      </w:r>
    </w:p>
    <w:p w14:paraId="3E6248AB" w14:textId="05F5B0B0" w:rsidR="002817CC" w:rsidRDefault="002817CC" w:rsidP="002817CC">
      <w:pPr>
        <w:pStyle w:val="ListParagraph"/>
        <w:numPr>
          <w:ilvl w:val="0"/>
          <w:numId w:val="3"/>
        </w:numPr>
        <w:rPr>
          <w:rFonts w:ascii="Arial" w:hAnsi="Arial" w:cs="Arial"/>
          <w:sz w:val="20"/>
          <w:szCs w:val="20"/>
        </w:rPr>
      </w:pPr>
      <w:r>
        <w:rPr>
          <w:rFonts w:ascii="Arial" w:hAnsi="Arial" w:cs="Arial"/>
          <w:sz w:val="20"/>
          <w:szCs w:val="20"/>
        </w:rPr>
        <w:t>Communications expenses are $212 per month.</w:t>
      </w:r>
    </w:p>
    <w:p w14:paraId="3D88134C" w14:textId="38099281" w:rsidR="002817CC" w:rsidRDefault="002817CC" w:rsidP="002817CC">
      <w:pPr>
        <w:pStyle w:val="ListParagraph"/>
        <w:numPr>
          <w:ilvl w:val="0"/>
          <w:numId w:val="3"/>
        </w:numPr>
        <w:rPr>
          <w:rFonts w:ascii="Arial" w:hAnsi="Arial" w:cs="Arial"/>
          <w:sz w:val="20"/>
          <w:szCs w:val="20"/>
        </w:rPr>
      </w:pPr>
      <w:r>
        <w:rPr>
          <w:rFonts w:ascii="Arial" w:hAnsi="Arial" w:cs="Arial"/>
          <w:sz w:val="20"/>
          <w:szCs w:val="20"/>
        </w:rPr>
        <w:t>Facility expenses are building costs estimated to be:</w:t>
      </w:r>
    </w:p>
    <w:p w14:paraId="62463507" w14:textId="63F76735" w:rsidR="002817CC" w:rsidRDefault="002817CC" w:rsidP="002817CC">
      <w:pPr>
        <w:pStyle w:val="ListParagraph"/>
        <w:numPr>
          <w:ilvl w:val="1"/>
          <w:numId w:val="3"/>
        </w:numPr>
        <w:rPr>
          <w:rFonts w:ascii="Arial" w:hAnsi="Arial" w:cs="Arial"/>
          <w:sz w:val="20"/>
          <w:szCs w:val="20"/>
        </w:rPr>
      </w:pPr>
      <w:r>
        <w:rPr>
          <w:rFonts w:ascii="Arial" w:hAnsi="Arial" w:cs="Arial"/>
          <w:sz w:val="20"/>
          <w:szCs w:val="20"/>
        </w:rPr>
        <w:t xml:space="preserve">Electricity $800 monthly </w:t>
      </w:r>
    </w:p>
    <w:p w14:paraId="253F54F7" w14:textId="0815472A" w:rsidR="002817CC" w:rsidRDefault="002817CC" w:rsidP="002817CC">
      <w:pPr>
        <w:pStyle w:val="ListParagraph"/>
        <w:numPr>
          <w:ilvl w:val="1"/>
          <w:numId w:val="3"/>
        </w:numPr>
        <w:rPr>
          <w:rFonts w:ascii="Arial" w:hAnsi="Arial" w:cs="Arial"/>
          <w:sz w:val="20"/>
          <w:szCs w:val="20"/>
        </w:rPr>
      </w:pPr>
      <w:r>
        <w:rPr>
          <w:rFonts w:ascii="Arial" w:hAnsi="Arial" w:cs="Arial"/>
          <w:sz w:val="20"/>
          <w:szCs w:val="20"/>
        </w:rPr>
        <w:t xml:space="preserve">Rubbish $80 monthly </w:t>
      </w:r>
    </w:p>
    <w:p w14:paraId="08FB4442" w14:textId="696CA57B" w:rsidR="002817CC" w:rsidRDefault="002817CC" w:rsidP="002817CC">
      <w:pPr>
        <w:pStyle w:val="ListParagraph"/>
        <w:numPr>
          <w:ilvl w:val="1"/>
          <w:numId w:val="3"/>
        </w:numPr>
        <w:rPr>
          <w:rFonts w:ascii="Arial" w:hAnsi="Arial" w:cs="Arial"/>
          <w:sz w:val="20"/>
          <w:szCs w:val="20"/>
        </w:rPr>
      </w:pPr>
      <w:r>
        <w:rPr>
          <w:rFonts w:ascii="Arial" w:hAnsi="Arial" w:cs="Arial"/>
          <w:sz w:val="20"/>
          <w:szCs w:val="20"/>
        </w:rPr>
        <w:t>Cleaning $30 monthly</w:t>
      </w:r>
    </w:p>
    <w:p w14:paraId="69DB9862" w14:textId="3357C3D1" w:rsidR="002817CC" w:rsidRDefault="002817CC" w:rsidP="002817CC">
      <w:pPr>
        <w:pStyle w:val="ListParagraph"/>
        <w:numPr>
          <w:ilvl w:val="1"/>
          <w:numId w:val="3"/>
        </w:numPr>
        <w:rPr>
          <w:rFonts w:ascii="Arial" w:hAnsi="Arial" w:cs="Arial"/>
          <w:sz w:val="20"/>
          <w:szCs w:val="20"/>
        </w:rPr>
      </w:pPr>
      <w:r>
        <w:rPr>
          <w:rFonts w:ascii="Arial" w:hAnsi="Arial" w:cs="Arial"/>
          <w:sz w:val="20"/>
          <w:szCs w:val="20"/>
        </w:rPr>
        <w:lastRenderedPageBreak/>
        <w:t xml:space="preserve">Gas $40 monthly </w:t>
      </w:r>
    </w:p>
    <w:p w14:paraId="48FFED2F" w14:textId="73CFF367" w:rsidR="002817CC" w:rsidRDefault="002817CC" w:rsidP="002817CC">
      <w:pPr>
        <w:pStyle w:val="ListParagraph"/>
        <w:numPr>
          <w:ilvl w:val="1"/>
          <w:numId w:val="3"/>
        </w:numPr>
        <w:rPr>
          <w:rFonts w:ascii="Arial" w:hAnsi="Arial" w:cs="Arial"/>
          <w:sz w:val="20"/>
          <w:szCs w:val="20"/>
        </w:rPr>
      </w:pPr>
      <w:r>
        <w:rPr>
          <w:rFonts w:ascii="Arial" w:hAnsi="Arial" w:cs="Arial"/>
          <w:sz w:val="20"/>
          <w:szCs w:val="20"/>
        </w:rPr>
        <w:t>Council rates $500 quarterly</w:t>
      </w:r>
    </w:p>
    <w:p w14:paraId="0BB9B3C7" w14:textId="07475D93" w:rsidR="002817CC" w:rsidRDefault="002817CC" w:rsidP="002817CC">
      <w:pPr>
        <w:pStyle w:val="ListParagraph"/>
        <w:numPr>
          <w:ilvl w:val="1"/>
          <w:numId w:val="3"/>
        </w:numPr>
        <w:rPr>
          <w:rFonts w:ascii="Arial" w:hAnsi="Arial" w:cs="Arial"/>
          <w:sz w:val="20"/>
          <w:szCs w:val="20"/>
        </w:rPr>
      </w:pPr>
      <w:r>
        <w:rPr>
          <w:rFonts w:ascii="Arial" w:hAnsi="Arial" w:cs="Arial"/>
          <w:sz w:val="20"/>
          <w:szCs w:val="20"/>
        </w:rPr>
        <w:t>Water usage $300 quarterly</w:t>
      </w:r>
    </w:p>
    <w:p w14:paraId="2EA2BCC1" w14:textId="68AE8B9F" w:rsidR="002817CC" w:rsidRDefault="002817CC" w:rsidP="002817CC">
      <w:pPr>
        <w:pStyle w:val="ListParagraph"/>
        <w:numPr>
          <w:ilvl w:val="0"/>
          <w:numId w:val="3"/>
        </w:numPr>
        <w:rPr>
          <w:rFonts w:ascii="Arial" w:hAnsi="Arial" w:cs="Arial"/>
          <w:sz w:val="20"/>
          <w:szCs w:val="20"/>
        </w:rPr>
      </w:pPr>
      <w:r>
        <w:rPr>
          <w:rFonts w:ascii="Arial" w:hAnsi="Arial" w:cs="Arial"/>
          <w:sz w:val="20"/>
          <w:szCs w:val="20"/>
        </w:rPr>
        <w:t xml:space="preserve">Rent expected to be the same until the end of Feb, then increased to $3,900 per month plus GST thereafter. This amount has not been agreed by the landlord and is illustrative only. </w:t>
      </w:r>
    </w:p>
    <w:p w14:paraId="76636D6F" w14:textId="3E8FD31C" w:rsidR="002817CC" w:rsidRDefault="002817CC" w:rsidP="002817CC">
      <w:pPr>
        <w:pStyle w:val="ListParagraph"/>
        <w:numPr>
          <w:ilvl w:val="0"/>
          <w:numId w:val="3"/>
        </w:numPr>
        <w:rPr>
          <w:rFonts w:ascii="Arial" w:hAnsi="Arial" w:cs="Arial"/>
          <w:sz w:val="20"/>
          <w:szCs w:val="20"/>
        </w:rPr>
      </w:pPr>
      <w:r>
        <w:rPr>
          <w:rFonts w:ascii="Arial" w:hAnsi="Arial" w:cs="Arial"/>
          <w:sz w:val="20"/>
          <w:szCs w:val="20"/>
        </w:rPr>
        <w:t xml:space="preserve">Insurance expenses include workers comp and business insurance costs. </w:t>
      </w:r>
    </w:p>
    <w:p w14:paraId="3931FD42" w14:textId="65EA6DDF" w:rsidR="002817CC" w:rsidRDefault="002817CC" w:rsidP="002817CC">
      <w:pPr>
        <w:pStyle w:val="ListParagraph"/>
        <w:numPr>
          <w:ilvl w:val="0"/>
          <w:numId w:val="3"/>
        </w:numPr>
        <w:rPr>
          <w:rFonts w:ascii="Arial" w:hAnsi="Arial" w:cs="Arial"/>
          <w:sz w:val="20"/>
          <w:szCs w:val="20"/>
        </w:rPr>
      </w:pPr>
      <w:r>
        <w:rPr>
          <w:rFonts w:ascii="Arial" w:hAnsi="Arial" w:cs="Arial"/>
          <w:sz w:val="20"/>
          <w:szCs w:val="20"/>
        </w:rPr>
        <w:t>Non-operating expenses are those which are not made for the general purpose of operating the store. Included in this line item are the following non-operating expenses:</w:t>
      </w:r>
    </w:p>
    <w:p w14:paraId="6D85FAEC" w14:textId="36F3FFDA" w:rsidR="002817CC" w:rsidRDefault="002817CC" w:rsidP="002817CC">
      <w:pPr>
        <w:pStyle w:val="ListParagraph"/>
        <w:numPr>
          <w:ilvl w:val="1"/>
          <w:numId w:val="3"/>
        </w:numPr>
        <w:rPr>
          <w:rFonts w:ascii="Arial" w:hAnsi="Arial" w:cs="Arial"/>
          <w:sz w:val="20"/>
          <w:szCs w:val="20"/>
        </w:rPr>
      </w:pPr>
      <w:r>
        <w:rPr>
          <w:rFonts w:ascii="Arial" w:hAnsi="Arial" w:cs="Arial"/>
          <w:sz w:val="20"/>
          <w:szCs w:val="20"/>
        </w:rPr>
        <w:t xml:space="preserve">$12,000 annual leave loading payments made to </w:t>
      </w:r>
      <w:proofErr w:type="spellStart"/>
      <w:r>
        <w:rPr>
          <w:rFonts w:ascii="Arial" w:hAnsi="Arial" w:cs="Arial"/>
          <w:sz w:val="20"/>
          <w:szCs w:val="20"/>
        </w:rPr>
        <w:t>ex employees</w:t>
      </w:r>
      <w:proofErr w:type="spellEnd"/>
      <w:r>
        <w:rPr>
          <w:rFonts w:ascii="Arial" w:hAnsi="Arial" w:cs="Arial"/>
          <w:sz w:val="20"/>
          <w:szCs w:val="20"/>
        </w:rPr>
        <w:t xml:space="preserve"> in February; and </w:t>
      </w:r>
    </w:p>
    <w:p w14:paraId="29F21C8B" w14:textId="7B243C72" w:rsidR="0040137C" w:rsidRPr="002817CC" w:rsidRDefault="002817CC" w:rsidP="003432F2">
      <w:pPr>
        <w:pStyle w:val="ListParagraph"/>
        <w:numPr>
          <w:ilvl w:val="1"/>
          <w:numId w:val="3"/>
        </w:numPr>
        <w:rPr>
          <w:rFonts w:ascii="Arial" w:hAnsi="Arial" w:cs="Arial"/>
          <w:sz w:val="20"/>
          <w:szCs w:val="20"/>
        </w:rPr>
      </w:pPr>
      <w:r>
        <w:rPr>
          <w:rFonts w:ascii="Arial" w:hAnsi="Arial" w:cs="Arial"/>
          <w:sz w:val="20"/>
          <w:szCs w:val="20"/>
        </w:rPr>
        <w:t xml:space="preserve">$25,000 in directors loans, forecast to be repaid over the course of November and December. </w:t>
      </w:r>
    </w:p>
    <w:p w14:paraId="0624DB7B" w14:textId="77777777" w:rsidR="0040137C" w:rsidRPr="003432F2" w:rsidRDefault="0040137C" w:rsidP="003432F2">
      <w:pPr>
        <w:rPr>
          <w:rFonts w:ascii="Arial" w:hAnsi="Arial" w:cs="Arial"/>
          <w:sz w:val="20"/>
          <w:szCs w:val="20"/>
        </w:rPr>
      </w:pPr>
    </w:p>
    <w:sectPr w:rsidR="0040137C" w:rsidRPr="0034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74944"/>
    <w:multiLevelType w:val="hybridMultilevel"/>
    <w:tmpl w:val="EA321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CC6B5D"/>
    <w:multiLevelType w:val="hybridMultilevel"/>
    <w:tmpl w:val="17DCC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0F1B0F"/>
    <w:multiLevelType w:val="hybridMultilevel"/>
    <w:tmpl w:val="9BA6C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1072740"/>
    <w:multiLevelType w:val="hybridMultilevel"/>
    <w:tmpl w:val="E704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9225CC"/>
    <w:multiLevelType w:val="hybridMultilevel"/>
    <w:tmpl w:val="99643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78"/>
    <w:rsid w:val="00192878"/>
    <w:rsid w:val="00242F35"/>
    <w:rsid w:val="002817CC"/>
    <w:rsid w:val="0028534C"/>
    <w:rsid w:val="003266E3"/>
    <w:rsid w:val="003432F2"/>
    <w:rsid w:val="0040137C"/>
    <w:rsid w:val="006918EF"/>
    <w:rsid w:val="00721E84"/>
    <w:rsid w:val="00856FE5"/>
    <w:rsid w:val="009F51A9"/>
    <w:rsid w:val="00B71105"/>
    <w:rsid w:val="00B83224"/>
    <w:rsid w:val="00C04DD0"/>
    <w:rsid w:val="00C14E13"/>
    <w:rsid w:val="00D574D9"/>
    <w:rsid w:val="00E7440F"/>
    <w:rsid w:val="00F32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CCFC"/>
  <w15:chartTrackingRefBased/>
  <w15:docId w15:val="{CD39904A-EEAD-4F9E-B165-0A7C111A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9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Alfalfa House</a:t>
            </a:r>
            <a:r>
              <a:rPr lang="en-AU" baseline="0"/>
              <a:t> - 2021 Daily Sales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Sheet2!$A$2:$A$39</c:f>
              <c:numCache>
                <c:formatCode>m/d/yyyy</c:formatCode>
                <c:ptCount val="38"/>
                <c:pt idx="0">
                  <c:v>44198</c:v>
                </c:pt>
                <c:pt idx="1">
                  <c:v>44200</c:v>
                </c:pt>
                <c:pt idx="2">
                  <c:v>44201</c:v>
                </c:pt>
                <c:pt idx="3">
                  <c:v>44202</c:v>
                </c:pt>
                <c:pt idx="4">
                  <c:v>44203</c:v>
                </c:pt>
                <c:pt idx="5">
                  <c:v>44204</c:v>
                </c:pt>
                <c:pt idx="6">
                  <c:v>44205</c:v>
                </c:pt>
                <c:pt idx="7">
                  <c:v>44207</c:v>
                </c:pt>
                <c:pt idx="8">
                  <c:v>44208</c:v>
                </c:pt>
                <c:pt idx="9">
                  <c:v>44209</c:v>
                </c:pt>
                <c:pt idx="10">
                  <c:v>44210</c:v>
                </c:pt>
                <c:pt idx="11">
                  <c:v>44211</c:v>
                </c:pt>
                <c:pt idx="12">
                  <c:v>44212</c:v>
                </c:pt>
                <c:pt idx="13">
                  <c:v>44213</c:v>
                </c:pt>
                <c:pt idx="14">
                  <c:v>44214</c:v>
                </c:pt>
                <c:pt idx="15">
                  <c:v>44215</c:v>
                </c:pt>
                <c:pt idx="16">
                  <c:v>44216</c:v>
                </c:pt>
                <c:pt idx="17">
                  <c:v>44217</c:v>
                </c:pt>
                <c:pt idx="18">
                  <c:v>44218</c:v>
                </c:pt>
                <c:pt idx="19">
                  <c:v>44219</c:v>
                </c:pt>
                <c:pt idx="20">
                  <c:v>44220</c:v>
                </c:pt>
                <c:pt idx="21">
                  <c:v>44221</c:v>
                </c:pt>
                <c:pt idx="22">
                  <c:v>44222</c:v>
                </c:pt>
                <c:pt idx="23">
                  <c:v>44223</c:v>
                </c:pt>
                <c:pt idx="24">
                  <c:v>44224</c:v>
                </c:pt>
                <c:pt idx="25">
                  <c:v>44225</c:v>
                </c:pt>
                <c:pt idx="26">
                  <c:v>44226</c:v>
                </c:pt>
                <c:pt idx="27">
                  <c:v>44227</c:v>
                </c:pt>
                <c:pt idx="28">
                  <c:v>44228</c:v>
                </c:pt>
                <c:pt idx="29">
                  <c:v>44229</c:v>
                </c:pt>
                <c:pt idx="30">
                  <c:v>44230</c:v>
                </c:pt>
                <c:pt idx="31">
                  <c:v>44231</c:v>
                </c:pt>
                <c:pt idx="32">
                  <c:v>44232</c:v>
                </c:pt>
                <c:pt idx="33">
                  <c:v>44233</c:v>
                </c:pt>
                <c:pt idx="34">
                  <c:v>44234</c:v>
                </c:pt>
                <c:pt idx="35">
                  <c:v>44235</c:v>
                </c:pt>
                <c:pt idx="36">
                  <c:v>44236</c:v>
                </c:pt>
                <c:pt idx="37">
                  <c:v>44237</c:v>
                </c:pt>
              </c:numCache>
            </c:numRef>
          </c:cat>
          <c:val>
            <c:numRef>
              <c:f>Sheet2!$B$2:$B$39</c:f>
              <c:numCache>
                <c:formatCode>#,##0.00</c:formatCode>
                <c:ptCount val="38"/>
                <c:pt idx="0">
                  <c:v>3331.47</c:v>
                </c:pt>
                <c:pt idx="1">
                  <c:v>3137.33</c:v>
                </c:pt>
                <c:pt idx="2">
                  <c:v>2423.92</c:v>
                </c:pt>
                <c:pt idx="3">
                  <c:v>2524.94</c:v>
                </c:pt>
                <c:pt idx="4">
                  <c:v>3898.93</c:v>
                </c:pt>
                <c:pt idx="5">
                  <c:v>4826.9799999999996</c:v>
                </c:pt>
                <c:pt idx="6">
                  <c:v>4528.2299999999996</c:v>
                </c:pt>
                <c:pt idx="7">
                  <c:v>5733.11</c:v>
                </c:pt>
                <c:pt idx="8">
                  <c:v>3501.19</c:v>
                </c:pt>
                <c:pt idx="9">
                  <c:v>2481.36</c:v>
                </c:pt>
                <c:pt idx="10">
                  <c:v>2754.99</c:v>
                </c:pt>
                <c:pt idx="11">
                  <c:v>3350.85</c:v>
                </c:pt>
                <c:pt idx="12">
                  <c:v>5360.82</c:v>
                </c:pt>
                <c:pt idx="13">
                  <c:v>2285.5100000000002</c:v>
                </c:pt>
                <c:pt idx="14">
                  <c:v>3473.29</c:v>
                </c:pt>
                <c:pt idx="15">
                  <c:v>2038.65</c:v>
                </c:pt>
                <c:pt idx="16">
                  <c:v>2821.91</c:v>
                </c:pt>
                <c:pt idx="17">
                  <c:v>2813.98</c:v>
                </c:pt>
                <c:pt idx="18">
                  <c:v>2937.16</c:v>
                </c:pt>
                <c:pt idx="19">
                  <c:v>2717.93</c:v>
                </c:pt>
                <c:pt idx="20">
                  <c:v>2997.26</c:v>
                </c:pt>
                <c:pt idx="21">
                  <c:v>1999.23</c:v>
                </c:pt>
                <c:pt idx="22">
                  <c:v>1034.3399999999999</c:v>
                </c:pt>
                <c:pt idx="23">
                  <c:v>3440.91</c:v>
                </c:pt>
                <c:pt idx="24">
                  <c:v>2435.9899999999998</c:v>
                </c:pt>
                <c:pt idx="25">
                  <c:v>2263.25</c:v>
                </c:pt>
                <c:pt idx="26">
                  <c:v>3856.97</c:v>
                </c:pt>
                <c:pt idx="27">
                  <c:v>2837.06</c:v>
                </c:pt>
                <c:pt idx="28">
                  <c:v>2539.56</c:v>
                </c:pt>
                <c:pt idx="29">
                  <c:v>2668.33</c:v>
                </c:pt>
                <c:pt idx="30">
                  <c:v>1538.52</c:v>
                </c:pt>
                <c:pt idx="31">
                  <c:v>2779.96</c:v>
                </c:pt>
                <c:pt idx="32">
                  <c:v>2859.01</c:v>
                </c:pt>
                <c:pt idx="33">
                  <c:v>3600.44</c:v>
                </c:pt>
                <c:pt idx="34">
                  <c:v>1533.83</c:v>
                </c:pt>
                <c:pt idx="35">
                  <c:v>2050.15</c:v>
                </c:pt>
                <c:pt idx="36">
                  <c:v>1945.93</c:v>
                </c:pt>
                <c:pt idx="37">
                  <c:v>1666.03</c:v>
                </c:pt>
              </c:numCache>
            </c:numRef>
          </c:val>
          <c:extLst>
            <c:ext xmlns:c16="http://schemas.microsoft.com/office/drawing/2014/chart" uri="{C3380CC4-5D6E-409C-BE32-E72D297353CC}">
              <c16:uniqueId val="{00000000-47EF-46A9-B881-1B6D4E549166}"/>
            </c:ext>
          </c:extLst>
        </c:ser>
        <c:dLbls>
          <c:showLegendKey val="0"/>
          <c:showVal val="0"/>
          <c:showCatName val="0"/>
          <c:showSerName val="0"/>
          <c:showPercent val="0"/>
          <c:showBubbleSize val="0"/>
        </c:dLbls>
        <c:gapWidth val="150"/>
        <c:axId val="755364944"/>
        <c:axId val="755368552"/>
      </c:barChart>
      <c:dateAx>
        <c:axId val="75536494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368552"/>
        <c:crosses val="autoZero"/>
        <c:auto val="1"/>
        <c:lblOffset val="100"/>
        <c:baseTimeUnit val="days"/>
      </c:dateAx>
      <c:valAx>
        <c:axId val="755368552"/>
        <c:scaling>
          <c:orientation val="minMax"/>
          <c:max val="6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364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8126</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Whittingham</dc:creator>
  <cp:keywords/>
  <dc:description/>
  <cp:lastModifiedBy>Nathan Whittingham</cp:lastModifiedBy>
  <cp:revision>7</cp:revision>
  <dcterms:created xsi:type="dcterms:W3CDTF">2021-01-20T04:42:00Z</dcterms:created>
  <dcterms:modified xsi:type="dcterms:W3CDTF">2021-02-11T03:03:00Z</dcterms:modified>
</cp:coreProperties>
</file>